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210C" w:rsidRDefault="0045210C">
      <w:pPr>
        <w:tabs>
          <w:tab w:val="left" w:pos="2127"/>
          <w:tab w:val="left" w:pos="2268"/>
        </w:tabs>
      </w:pPr>
    </w:p>
    <w:p w:rsidR="0045210C" w:rsidRDefault="0045210C">
      <w:pPr>
        <w:tabs>
          <w:tab w:val="left" w:pos="2127"/>
          <w:tab w:val="left" w:pos="2268"/>
        </w:tabs>
      </w:pPr>
    </w:p>
    <w:p w:rsidR="0045210C" w:rsidRDefault="0045210C">
      <w:pPr>
        <w:tabs>
          <w:tab w:val="left" w:pos="2127"/>
          <w:tab w:val="left" w:pos="2268"/>
        </w:tabs>
      </w:pPr>
    </w:p>
    <w:p w:rsidR="0045210C" w:rsidRDefault="0045210C">
      <w:pPr>
        <w:tabs>
          <w:tab w:val="left" w:pos="2127"/>
          <w:tab w:val="left" w:pos="2268"/>
        </w:tabs>
      </w:pPr>
    </w:p>
    <w:p w:rsidR="0045210C" w:rsidRDefault="0045210C">
      <w:pPr>
        <w:tabs>
          <w:tab w:val="left" w:pos="2127"/>
          <w:tab w:val="left" w:pos="2268"/>
        </w:tabs>
      </w:pPr>
    </w:p>
    <w:p w:rsidR="0045210C" w:rsidRPr="00893160" w:rsidRDefault="0045210C">
      <w:pPr>
        <w:tabs>
          <w:tab w:val="left" w:pos="2127"/>
          <w:tab w:val="left" w:pos="2268"/>
        </w:tabs>
        <w:rPr>
          <w:b/>
          <w:sz w:val="32"/>
          <w:szCs w:val="32"/>
        </w:rPr>
      </w:pPr>
    </w:p>
    <w:p w:rsidR="00F3555F" w:rsidRPr="00893160" w:rsidRDefault="00F3555F" w:rsidP="00F3555F">
      <w:pPr>
        <w:spacing w:after="200" w:line="276" w:lineRule="auto"/>
        <w:rPr>
          <w:rFonts w:asciiTheme="minorHAnsi" w:eastAsiaTheme="minorHAnsi" w:hAnsiTheme="minorHAnsi" w:cstheme="minorBidi"/>
          <w:b/>
          <w:color w:val="auto"/>
          <w:sz w:val="32"/>
          <w:szCs w:val="32"/>
          <w:u w:val="single"/>
          <w:lang w:eastAsia="en-US"/>
        </w:rPr>
      </w:pPr>
      <w:bookmarkStart w:id="0" w:name="h.gjdgxs" w:colFirst="0" w:colLast="0"/>
      <w:bookmarkEnd w:id="0"/>
      <w:r w:rsidRPr="00893160">
        <w:rPr>
          <w:rFonts w:asciiTheme="minorHAnsi" w:eastAsiaTheme="minorHAnsi" w:hAnsiTheme="minorHAnsi" w:cstheme="minorBidi"/>
          <w:b/>
          <w:color w:val="auto"/>
          <w:sz w:val="32"/>
          <w:szCs w:val="32"/>
          <w:u w:val="single"/>
          <w:lang w:eastAsia="en-US"/>
        </w:rPr>
        <w:t>PLYMOUTH DANCE PROFESSIONALS ANALYSIS &amp; STATISTICS UPDATE AND COMPARISON</w:t>
      </w:r>
    </w:p>
    <w:p w:rsidR="00F04DEA" w:rsidRPr="00893160" w:rsidRDefault="00F3555F" w:rsidP="00F3555F">
      <w:pPr>
        <w:spacing w:after="200" w:line="276" w:lineRule="auto"/>
      </w:pPr>
      <w:r w:rsidRPr="00893160">
        <w:rPr>
          <w:rFonts w:asciiTheme="minorHAnsi" w:eastAsiaTheme="minorHAnsi" w:hAnsiTheme="minorHAnsi" w:cstheme="minorBidi"/>
          <w:color w:val="auto"/>
          <w:lang w:eastAsia="en-US"/>
        </w:rPr>
        <w:t>This report is an update and comparison of research taken in 2014</w:t>
      </w:r>
      <w:r w:rsidR="000243D8" w:rsidRPr="00893160">
        <w:rPr>
          <w:rFonts w:asciiTheme="minorHAnsi" w:eastAsiaTheme="minorHAnsi" w:hAnsiTheme="minorHAnsi" w:cstheme="minorBidi"/>
          <w:color w:val="auto"/>
          <w:lang w:eastAsia="en-US"/>
        </w:rPr>
        <w:t>,</w:t>
      </w:r>
      <w:r w:rsidRPr="00893160">
        <w:t xml:space="preserve"> of </w:t>
      </w:r>
      <w:r w:rsidRPr="00893160">
        <w:rPr>
          <w:rFonts w:asciiTheme="minorHAnsi" w:eastAsiaTheme="minorHAnsi" w:hAnsiTheme="minorHAnsi" w:cstheme="minorBidi"/>
          <w:color w:val="auto"/>
          <w:lang w:eastAsia="en-US"/>
        </w:rPr>
        <w:t xml:space="preserve">data regarding employment of dance professionals in Plymouth. The initial research was taken between June-November 2014 with 25 individuals working as </w:t>
      </w:r>
      <w:r w:rsidRPr="00893160">
        <w:t>dancers, choreographers, teachers, lecturers or producers. The updated research has been taken from 22 individuals</w:t>
      </w:r>
      <w:r w:rsidR="000243D8" w:rsidRPr="00893160">
        <w:t xml:space="preserve"> between October-Dec</w:t>
      </w:r>
      <w:r w:rsidR="002B3E8D" w:rsidRPr="00893160">
        <w:t>ember 2015. 15 participants updated</w:t>
      </w:r>
      <w:r w:rsidRPr="00893160">
        <w:t xml:space="preserve"> there initial answers</w:t>
      </w:r>
      <w:r w:rsidR="002B3E8D" w:rsidRPr="00893160">
        <w:t xml:space="preserve">, the information from 10 participants was removed </w:t>
      </w:r>
      <w:r w:rsidR="000243D8" w:rsidRPr="00893160">
        <w:t xml:space="preserve">due to </w:t>
      </w:r>
      <w:r w:rsidR="002B3E8D" w:rsidRPr="00893160">
        <w:t xml:space="preserve">them relocating. 7 individuals were added as they currently work within the </w:t>
      </w:r>
      <w:r w:rsidR="000243D8" w:rsidRPr="00893160">
        <w:t>dance sector in Plymouth.</w:t>
      </w:r>
    </w:p>
    <w:p w:rsidR="002B3E8D" w:rsidRPr="00893160"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2B3E8D" w:rsidRDefault="002B3E8D" w:rsidP="00F3555F">
      <w:pPr>
        <w:spacing w:after="200" w:line="276" w:lineRule="auto"/>
        <w:rPr>
          <w:b/>
          <w:u w:val="single"/>
        </w:rPr>
      </w:pPr>
    </w:p>
    <w:p w:rsidR="000243D8" w:rsidRPr="000C0459" w:rsidRDefault="000243D8" w:rsidP="00F3555F">
      <w:pPr>
        <w:spacing w:after="200" w:line="276" w:lineRule="auto"/>
        <w:rPr>
          <w:b/>
        </w:rPr>
      </w:pPr>
      <w:r w:rsidRPr="000C0459">
        <w:rPr>
          <w:b/>
          <w:u w:val="single"/>
        </w:rPr>
        <w:t>Where do our practitioners originally come from?</w:t>
      </w:r>
    </w:p>
    <w:p w:rsidR="000243D8" w:rsidRPr="000C0459" w:rsidRDefault="000243D8" w:rsidP="00F3555F">
      <w:pPr>
        <w:spacing w:after="200" w:line="276" w:lineRule="auto"/>
        <w:rPr>
          <w:b/>
        </w:rPr>
      </w:pPr>
      <w:r w:rsidRPr="000C0459">
        <w:rPr>
          <w:b/>
        </w:rPr>
        <w:t>October-December 2015 Research</w:t>
      </w:r>
    </w:p>
    <w:p w:rsidR="000243D8" w:rsidRDefault="000243D8" w:rsidP="00F3555F">
      <w:pPr>
        <w:spacing w:after="200" w:line="276" w:lineRule="auto"/>
        <w:rPr>
          <w:noProof/>
        </w:rPr>
      </w:pPr>
      <w:r>
        <w:rPr>
          <w:noProof/>
        </w:rPr>
        <w:drawing>
          <wp:inline distT="0" distB="0" distL="0" distR="0" wp14:anchorId="56D91A72" wp14:editId="46D5583D">
            <wp:extent cx="5486400" cy="19431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210C" w:rsidRPr="000C0459" w:rsidRDefault="000243D8">
      <w:pPr>
        <w:tabs>
          <w:tab w:val="left" w:pos="2127"/>
          <w:tab w:val="left" w:pos="2268"/>
        </w:tabs>
        <w:rPr>
          <w:b/>
        </w:rPr>
      </w:pPr>
      <w:r w:rsidRPr="000C0459">
        <w:rPr>
          <w:b/>
        </w:rPr>
        <w:t>June-November 2014 Research</w:t>
      </w:r>
    </w:p>
    <w:p w:rsidR="000243D8" w:rsidRDefault="000243D8">
      <w:pPr>
        <w:tabs>
          <w:tab w:val="left" w:pos="2127"/>
          <w:tab w:val="left" w:pos="2268"/>
        </w:tabs>
      </w:pPr>
    </w:p>
    <w:p w:rsidR="000243D8" w:rsidRDefault="000243D8">
      <w:pPr>
        <w:tabs>
          <w:tab w:val="left" w:pos="2127"/>
          <w:tab w:val="left" w:pos="2268"/>
        </w:tabs>
      </w:pPr>
      <w:r>
        <w:rPr>
          <w:noProof/>
        </w:rPr>
        <w:drawing>
          <wp:inline distT="0" distB="0" distL="0" distR="0" wp14:anchorId="6AD0BEB1" wp14:editId="653083CF">
            <wp:extent cx="5486400" cy="18764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3E8D" w:rsidRDefault="002B3E8D">
      <w:pPr>
        <w:tabs>
          <w:tab w:val="left" w:pos="2127"/>
          <w:tab w:val="left" w:pos="2268"/>
        </w:tabs>
      </w:pPr>
    </w:p>
    <w:p w:rsidR="001E4B31" w:rsidRDefault="002B3E8D">
      <w:pPr>
        <w:tabs>
          <w:tab w:val="left" w:pos="2127"/>
          <w:tab w:val="left" w:pos="2268"/>
        </w:tabs>
      </w:pPr>
      <w:r>
        <w:t>A</w:t>
      </w:r>
      <w:r w:rsidR="001E4B31">
        <w:t>s you can see from the graphs above there are still more female practitioners than male and the origins of individuals has maintained diversity. However it is clear to see there has been an increase of female practitioners working in the dance sector in P</w:t>
      </w:r>
      <w:r>
        <w:t>lymouth, with the %</w:t>
      </w:r>
      <w:r w:rsidR="001E4B31">
        <w:t xml:space="preserve"> doubling from 2014 to 2015. However it is still worth noting that none of the male </w:t>
      </w:r>
      <w:r w:rsidR="00834F8B">
        <w:t>practitioner’s</w:t>
      </w:r>
      <w:r w:rsidR="001E4B31">
        <w:t xml:space="preserve"> origin is Plymouth.</w:t>
      </w:r>
    </w:p>
    <w:p w:rsidR="00834F8B" w:rsidRDefault="00834F8B">
      <w:pPr>
        <w:tabs>
          <w:tab w:val="left" w:pos="2127"/>
          <w:tab w:val="left" w:pos="2268"/>
        </w:tabs>
      </w:pPr>
    </w:p>
    <w:p w:rsidR="002B3E8D" w:rsidRDefault="002B3E8D">
      <w:pPr>
        <w:tabs>
          <w:tab w:val="left" w:pos="2127"/>
          <w:tab w:val="left" w:pos="2268"/>
        </w:tabs>
      </w:pPr>
    </w:p>
    <w:p w:rsidR="002B3E8D" w:rsidRDefault="002B3E8D">
      <w:pPr>
        <w:tabs>
          <w:tab w:val="left" w:pos="2127"/>
          <w:tab w:val="left" w:pos="2268"/>
        </w:tabs>
      </w:pPr>
    </w:p>
    <w:p w:rsidR="002B3E8D" w:rsidRDefault="002B3E8D">
      <w:pPr>
        <w:tabs>
          <w:tab w:val="left" w:pos="2127"/>
          <w:tab w:val="left" w:pos="2268"/>
        </w:tabs>
      </w:pPr>
    </w:p>
    <w:p w:rsidR="002B3E8D" w:rsidRDefault="002B3E8D">
      <w:pPr>
        <w:tabs>
          <w:tab w:val="left" w:pos="2127"/>
          <w:tab w:val="left" w:pos="2268"/>
        </w:tabs>
      </w:pPr>
    </w:p>
    <w:p w:rsidR="002B3E8D" w:rsidRDefault="002B3E8D">
      <w:pPr>
        <w:tabs>
          <w:tab w:val="left" w:pos="2127"/>
          <w:tab w:val="left" w:pos="2268"/>
        </w:tabs>
      </w:pPr>
    </w:p>
    <w:p w:rsidR="002B3E8D" w:rsidRDefault="002B3E8D">
      <w:pPr>
        <w:tabs>
          <w:tab w:val="left" w:pos="2127"/>
          <w:tab w:val="left" w:pos="2268"/>
        </w:tabs>
      </w:pPr>
    </w:p>
    <w:p w:rsidR="002B3E8D" w:rsidRDefault="002B3E8D">
      <w:pPr>
        <w:tabs>
          <w:tab w:val="left" w:pos="2127"/>
          <w:tab w:val="left" w:pos="2268"/>
        </w:tabs>
      </w:pPr>
    </w:p>
    <w:p w:rsidR="002B3E8D" w:rsidRPr="000C0459" w:rsidRDefault="002B3E8D" w:rsidP="002B3E8D">
      <w:pPr>
        <w:tabs>
          <w:tab w:val="left" w:pos="2127"/>
          <w:tab w:val="left" w:pos="2268"/>
        </w:tabs>
        <w:rPr>
          <w:b/>
        </w:rPr>
      </w:pPr>
      <w:r w:rsidRPr="000C0459">
        <w:rPr>
          <w:b/>
        </w:rPr>
        <w:t>Regional graph 2015</w:t>
      </w:r>
    </w:p>
    <w:p w:rsidR="002B3E8D" w:rsidRDefault="002B3E8D">
      <w:pPr>
        <w:tabs>
          <w:tab w:val="left" w:pos="2127"/>
          <w:tab w:val="left" w:pos="2268"/>
        </w:tabs>
      </w:pPr>
    </w:p>
    <w:p w:rsidR="00834F8B" w:rsidRDefault="00834F8B">
      <w:pPr>
        <w:tabs>
          <w:tab w:val="left" w:pos="2127"/>
          <w:tab w:val="left" w:pos="2268"/>
        </w:tabs>
      </w:pPr>
      <w:r>
        <w:t>Looking at this regio</w:t>
      </w:r>
      <w:r w:rsidR="00391B70">
        <w:t xml:space="preserve">nally we are able to see that over 66% of our practitioners originate from the South West. In comparison to the research taken the previous year where 40% of practitioners originated from the South West. </w:t>
      </w:r>
    </w:p>
    <w:p w:rsidR="00834F8B" w:rsidRDefault="00834F8B">
      <w:pPr>
        <w:tabs>
          <w:tab w:val="left" w:pos="2127"/>
          <w:tab w:val="left" w:pos="2268"/>
        </w:tabs>
      </w:pPr>
    </w:p>
    <w:p w:rsidR="00834F8B" w:rsidRDefault="00834F8B">
      <w:pPr>
        <w:tabs>
          <w:tab w:val="left" w:pos="2127"/>
          <w:tab w:val="left" w:pos="2268"/>
        </w:tabs>
      </w:pPr>
    </w:p>
    <w:p w:rsidR="00834F8B" w:rsidRDefault="00834F8B">
      <w:pPr>
        <w:tabs>
          <w:tab w:val="left" w:pos="2127"/>
          <w:tab w:val="left" w:pos="2268"/>
        </w:tabs>
      </w:pPr>
      <w:r>
        <w:rPr>
          <w:noProof/>
        </w:rPr>
        <w:drawing>
          <wp:inline distT="0" distB="0" distL="0" distR="0" wp14:anchorId="46492156" wp14:editId="7E90ADB7">
            <wp:extent cx="5486400" cy="21717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4F8B" w:rsidRDefault="00834F8B">
      <w:pPr>
        <w:tabs>
          <w:tab w:val="left" w:pos="2127"/>
          <w:tab w:val="left" w:pos="2268"/>
        </w:tabs>
      </w:pPr>
    </w:p>
    <w:p w:rsidR="00834F8B" w:rsidRDefault="00834F8B">
      <w:pPr>
        <w:tabs>
          <w:tab w:val="left" w:pos="2127"/>
          <w:tab w:val="left" w:pos="2268"/>
        </w:tabs>
      </w:pPr>
    </w:p>
    <w:p w:rsidR="0089402E" w:rsidRPr="0089402E" w:rsidRDefault="0089402E" w:rsidP="0089402E">
      <w:pPr>
        <w:spacing w:after="200" w:line="276" w:lineRule="auto"/>
        <w:rPr>
          <w:rFonts w:asciiTheme="minorHAnsi" w:eastAsiaTheme="minorHAnsi" w:hAnsiTheme="minorHAnsi" w:cstheme="minorBidi"/>
          <w:b/>
          <w:color w:val="auto"/>
          <w:lang w:eastAsia="en-US"/>
        </w:rPr>
      </w:pPr>
      <w:r w:rsidRPr="0089402E">
        <w:rPr>
          <w:rFonts w:asciiTheme="minorHAnsi" w:eastAsiaTheme="minorHAnsi" w:hAnsiTheme="minorHAnsi" w:cstheme="minorBidi"/>
          <w:b/>
          <w:color w:val="auto"/>
          <w:lang w:eastAsia="en-US"/>
        </w:rPr>
        <w:t>Where are they now?</w:t>
      </w:r>
    </w:p>
    <w:p w:rsidR="0089402E" w:rsidRPr="0024477C" w:rsidRDefault="00BF5712" w:rsidP="0089402E">
      <w:pPr>
        <w:spacing w:after="200" w:line="276" w:lineRule="auto"/>
        <w:rPr>
          <w:rFonts w:asciiTheme="minorHAnsi" w:eastAsiaTheme="minorHAnsi" w:hAnsiTheme="minorHAnsi" w:cstheme="minorBidi"/>
          <w:color w:val="auto"/>
          <w:lang w:eastAsia="en-US"/>
        </w:rPr>
      </w:pPr>
      <w:r>
        <w:rPr>
          <w:noProof/>
        </w:rPr>
        <w:drawing>
          <wp:anchor distT="0" distB="0" distL="114300" distR="114300" simplePos="0" relativeHeight="251662336" behindDoc="1" locked="0" layoutInCell="1" allowOverlap="1" wp14:anchorId="411E4CF5" wp14:editId="427B32B0">
            <wp:simplePos x="0" y="0"/>
            <wp:positionH relativeFrom="column">
              <wp:posOffset>-57150</wp:posOffset>
            </wp:positionH>
            <wp:positionV relativeFrom="paragraph">
              <wp:posOffset>316865</wp:posOffset>
            </wp:positionV>
            <wp:extent cx="4381500" cy="2743200"/>
            <wp:effectExtent l="0" t="0" r="19050" b="19050"/>
            <wp:wrapTight wrapText="bothSides">
              <wp:wrapPolygon edited="0">
                <wp:start x="0" y="0"/>
                <wp:lineTo x="0" y="21600"/>
                <wp:lineTo x="21600" y="21600"/>
                <wp:lineTo x="2160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9402E" w:rsidRPr="0089402E">
        <w:rPr>
          <w:rFonts w:asciiTheme="minorHAnsi" w:eastAsiaTheme="minorHAnsi" w:hAnsiTheme="minorHAnsi" w:cstheme="minorBidi"/>
          <w:color w:val="auto"/>
          <w:lang w:eastAsia="en-US"/>
        </w:rPr>
        <w:t>The following graph shows where our practitioners currently reside:</w:t>
      </w:r>
    </w:p>
    <w:p w:rsidR="0089402E" w:rsidRPr="0089402E" w:rsidRDefault="0089402E" w:rsidP="0089402E">
      <w:pPr>
        <w:spacing w:after="200" w:line="276" w:lineRule="auto"/>
        <w:rPr>
          <w:rFonts w:asciiTheme="minorHAnsi" w:eastAsiaTheme="minorHAnsi" w:hAnsiTheme="minorHAnsi" w:cstheme="minorBidi"/>
          <w:color w:val="auto"/>
          <w:sz w:val="22"/>
          <w:szCs w:val="22"/>
          <w:lang w:eastAsia="en-US"/>
        </w:rPr>
      </w:pPr>
    </w:p>
    <w:p w:rsidR="00D15707" w:rsidRDefault="00096C4B">
      <w:pPr>
        <w:tabs>
          <w:tab w:val="left" w:pos="2127"/>
          <w:tab w:val="left" w:pos="2268"/>
        </w:tabs>
        <w:rPr>
          <w:u w:val="single"/>
        </w:rPr>
      </w:pPr>
      <w:r w:rsidRPr="0024477C">
        <w:rPr>
          <w:noProof/>
          <w:u w:val="single"/>
        </w:rPr>
        <mc:AlternateContent>
          <mc:Choice Requires="wps">
            <w:drawing>
              <wp:anchor distT="0" distB="0" distL="114300" distR="114300" simplePos="0" relativeHeight="251660288" behindDoc="0" locked="0" layoutInCell="1" allowOverlap="1" wp14:anchorId="0941795A" wp14:editId="2FD92014">
                <wp:simplePos x="0" y="0"/>
                <wp:positionH relativeFrom="column">
                  <wp:posOffset>47625</wp:posOffset>
                </wp:positionH>
                <wp:positionV relativeFrom="paragraph">
                  <wp:posOffset>14605</wp:posOffset>
                </wp:positionV>
                <wp:extent cx="1733550" cy="1647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47825"/>
                        </a:xfrm>
                        <a:prstGeom prst="rect">
                          <a:avLst/>
                        </a:prstGeom>
                        <a:solidFill>
                          <a:srgbClr val="FFFFFF"/>
                        </a:solidFill>
                        <a:ln w="9525">
                          <a:noFill/>
                          <a:miter lim="800000"/>
                          <a:headEnd/>
                          <a:tailEnd/>
                        </a:ln>
                      </wps:spPr>
                      <wps:txbx>
                        <w:txbxContent>
                          <w:p w:rsidR="0024477C" w:rsidRDefault="0024477C">
                            <w:r>
                              <w:t>As you can see the majority of the practitioners interviewed reside in PL3 and PL4, which means they are very local to the city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15pt;width:136.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sYIQIAAB4EAAAOAAAAZHJzL2Uyb0RvYy54bWysU9tu2zAMfR+wfxD0vti5NakRp+jSZRjQ&#10;XYB2H8DIcixMEj1Jid19fSk5TbPtbZgeBFIkD8lDanXTG82O0nmFtuTjUc6ZtAIrZfcl//64fbfk&#10;zAewFWi0suRP0vOb9ds3q64t5AQb1JV0jECsL7q25E0IbZFlXjTSgB9hKy0Za3QGAqlun1UOOkI3&#10;Opvk+VXWoatah0J6T693g5GvE35dSxG+1rWXgemSU20h3S7du3hn6xUUewdto8SpDPiHKgwoS0nP&#10;UHcQgB2c+gvKKOHQYx1GAk2Gda2ETD1QN+P8j24eGmhl6oXI8e2ZJv//YMWX4zfHVFXyab7gzIKh&#10;IT3KPrD32LNJ5KdrfUFuDy05hp6eac6pV9/eo/jhmcVNA3Yvb53DrpFQUX3jGJldhA44PoLsus9Y&#10;URo4BExAfe1MJI/oYIROc3o6zyaWImLKxXQ6n5NJkG18NVssJ/OUA4qX8Nb58FGiYVEouaPhJ3g4&#10;3vsQy4HixSVm86hVtVVaJ8Xtdxvt2BFoUbbpnNB/c9OWdSW/nlPuGGUxxqcdMirQImtlSr7M44nh&#10;UEQ6PtgqyQGUHmSqRNsTP5GSgZzQ73pyjKTtsHoiphwOC0sfjIQG3S/OOlrWkvufB3CSM/3JEtvX&#10;49ksbndSZvPFhBR3adldWsAKgip54GwQNyH9iKGjW5pKrRJfr5WcaqUlTDSePkzc8ks9eb1+6/Uz&#10;AAAA//8DAFBLAwQUAAYACAAAACEAOI/ketoAAAAHAQAADwAAAGRycy9kb3ducmV2LnhtbEyOQU+D&#10;QBSE7yb+h80z8WLsUrSAyNKoicZra3/AA16ByL4l7LbQf+/zpLeZzGTmK7aLHdSZJt87NrBeRaCI&#10;a9f03Bo4fL3fZ6B8QG5wcEwGLuRhW15fFZg3buYdnfehVTLCPkcDXQhjrrWvO7LoV24kluzoJotB&#10;7NTqZsJZxu2g4yhKtMWe5aHDkd46qr/3J2vg+DnfbZ7m6iMc0t1j8op9WrmLMbc3y8szqEBL+CvD&#10;L76gQylMlTtx49VgIN1I0UD8AErSOIvEVyKSdQa6LPR//vIHAAD//wMAUEsBAi0AFAAGAAgAAAAh&#10;ALaDOJL+AAAA4QEAABMAAAAAAAAAAAAAAAAAAAAAAFtDb250ZW50X1R5cGVzXS54bWxQSwECLQAU&#10;AAYACAAAACEAOP0h/9YAAACUAQAACwAAAAAAAAAAAAAAAAAvAQAAX3JlbHMvLnJlbHNQSwECLQAU&#10;AAYACAAAACEAzao7GCECAAAeBAAADgAAAAAAAAAAAAAAAAAuAgAAZHJzL2Uyb0RvYy54bWxQSwEC&#10;LQAUAAYACAAAACEAOI/ketoAAAAHAQAADwAAAAAAAAAAAAAAAAB7BAAAZHJzL2Rvd25yZXYueG1s&#10;UEsFBgAAAAAEAAQA8wAAAIIFAAAAAA==&#10;" stroked="f">
                <v:textbox>
                  <w:txbxContent>
                    <w:p w:rsidR="0024477C" w:rsidRDefault="0024477C">
                      <w:r>
                        <w:t>As you can see the majority of the practitioners interviewed reside in PL3 and PL4, which means they are very local to the city centre.</w:t>
                      </w:r>
                    </w:p>
                  </w:txbxContent>
                </v:textbox>
              </v:shape>
            </w:pict>
          </mc:Fallback>
        </mc:AlternateContent>
      </w: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24477C" w:rsidRDefault="0024477C" w:rsidP="0024477C"/>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D15707" w:rsidRDefault="00D15707">
      <w:pPr>
        <w:tabs>
          <w:tab w:val="left" w:pos="2127"/>
          <w:tab w:val="left" w:pos="2268"/>
        </w:tabs>
        <w:rPr>
          <w:u w:val="single"/>
        </w:rPr>
      </w:pPr>
    </w:p>
    <w:p w:rsidR="002B3E8D" w:rsidRDefault="002B3E8D">
      <w:pPr>
        <w:tabs>
          <w:tab w:val="left" w:pos="2127"/>
          <w:tab w:val="left" w:pos="2268"/>
        </w:tabs>
        <w:rPr>
          <w:b/>
          <w:u w:val="single"/>
        </w:rPr>
      </w:pPr>
    </w:p>
    <w:p w:rsidR="0024477C" w:rsidRDefault="00096C4B">
      <w:pPr>
        <w:tabs>
          <w:tab w:val="left" w:pos="2127"/>
          <w:tab w:val="left" w:pos="2268"/>
        </w:tabs>
        <w:rPr>
          <w:b/>
          <w:u w:val="single"/>
        </w:rPr>
      </w:pPr>
      <w:r>
        <w:rPr>
          <w:b/>
          <w:u w:val="single"/>
        </w:rPr>
        <w:t>Postcode to percentage of people working 100% in dance</w:t>
      </w:r>
    </w:p>
    <w:p w:rsidR="00AD69FB" w:rsidRDefault="00AD69FB">
      <w:pPr>
        <w:tabs>
          <w:tab w:val="left" w:pos="2127"/>
          <w:tab w:val="left" w:pos="2268"/>
        </w:tabs>
        <w:rPr>
          <w:b/>
          <w:u w:val="single"/>
        </w:rPr>
      </w:pPr>
    </w:p>
    <w:p w:rsidR="00AD69FB" w:rsidRPr="00AD69FB" w:rsidRDefault="00AD69FB" w:rsidP="00AD69FB">
      <w:pPr>
        <w:spacing w:after="200" w:line="276" w:lineRule="auto"/>
        <w:rPr>
          <w:rFonts w:asciiTheme="minorHAnsi" w:eastAsiaTheme="minorHAnsi" w:hAnsiTheme="minorHAnsi" w:cstheme="minorBidi"/>
          <w:color w:val="auto"/>
          <w:sz w:val="22"/>
          <w:szCs w:val="22"/>
          <w:lang w:eastAsia="en-US"/>
        </w:rPr>
      </w:pPr>
      <w:r w:rsidRPr="00AD69FB">
        <w:rPr>
          <w:rFonts w:asciiTheme="minorHAnsi" w:eastAsiaTheme="minorHAnsi" w:hAnsiTheme="minorHAnsi" w:cstheme="minorBidi"/>
          <w:color w:val="auto"/>
          <w:sz w:val="22"/>
          <w:szCs w:val="22"/>
          <w:lang w:eastAsia="en-US"/>
        </w:rPr>
        <w:t>The following graph will show the correlation between postcodes and those who work 100% in dance:</w:t>
      </w:r>
    </w:p>
    <w:p w:rsidR="0024477C" w:rsidRPr="00AD69FB" w:rsidRDefault="00AD69FB" w:rsidP="00AD69FB">
      <w:pPr>
        <w:spacing w:after="200" w:line="276" w:lineRule="auto"/>
        <w:rPr>
          <w:rFonts w:asciiTheme="minorHAnsi" w:eastAsiaTheme="minorHAnsi" w:hAnsiTheme="minorHAnsi" w:cstheme="minorBidi"/>
          <w:color w:val="auto"/>
          <w:sz w:val="22"/>
          <w:szCs w:val="22"/>
          <w:lang w:eastAsia="en-US"/>
        </w:rPr>
      </w:pPr>
      <w:r w:rsidRPr="00AD69FB">
        <w:rPr>
          <w:rFonts w:asciiTheme="minorHAnsi" w:eastAsiaTheme="minorHAnsi" w:hAnsiTheme="minorHAnsi" w:cstheme="minorBidi"/>
          <w:color w:val="auto"/>
          <w:sz w:val="22"/>
          <w:szCs w:val="22"/>
          <w:lang w:eastAsia="en-US"/>
        </w:rPr>
        <w:t>As you can see, a significant percentage of most major inner city postcodes have professionals who work fully in dance. However, there are also those who travel into the city to fulfil these criteria.</w:t>
      </w:r>
    </w:p>
    <w:p w:rsidR="0024477C" w:rsidRDefault="005E7784">
      <w:pPr>
        <w:tabs>
          <w:tab w:val="left" w:pos="2127"/>
          <w:tab w:val="left" w:pos="2268"/>
        </w:tabs>
        <w:rPr>
          <w:b/>
          <w:u w:val="single"/>
        </w:rPr>
      </w:pPr>
      <w:r>
        <w:rPr>
          <w:noProof/>
        </w:rPr>
        <w:drawing>
          <wp:inline distT="0" distB="0" distL="0" distR="0" wp14:anchorId="7A16A633" wp14:editId="72172D81">
            <wp:extent cx="4572000" cy="2890837"/>
            <wp:effectExtent l="0" t="0" r="19050" b="241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477C" w:rsidRDefault="0024477C">
      <w:pPr>
        <w:tabs>
          <w:tab w:val="left" w:pos="2127"/>
          <w:tab w:val="left" w:pos="2268"/>
        </w:tabs>
        <w:rPr>
          <w:b/>
          <w:u w:val="single"/>
        </w:rPr>
      </w:pPr>
    </w:p>
    <w:p w:rsidR="0024477C" w:rsidRPr="00F427F5" w:rsidRDefault="00CC6A65">
      <w:pPr>
        <w:tabs>
          <w:tab w:val="left" w:pos="2127"/>
          <w:tab w:val="left" w:pos="2268"/>
        </w:tabs>
      </w:pPr>
      <w:r>
        <w:t>From the consultations it has been seen</w:t>
      </w:r>
      <w:r w:rsidR="00F427F5">
        <w:t xml:space="preserve"> that there are 22 different businesses which our practitioners work within with primary schools all coming under one bracket and secondary schools in another. From this it can also be seen that those who do not work 100% in dance work within six areas: hospitality, caring, security, yoga teaching, gymnastics coaching and photography. </w:t>
      </w:r>
    </w:p>
    <w:p w:rsidR="0024477C" w:rsidRDefault="0024477C">
      <w:pPr>
        <w:tabs>
          <w:tab w:val="left" w:pos="2127"/>
          <w:tab w:val="left" w:pos="2268"/>
        </w:tabs>
        <w:rPr>
          <w:b/>
          <w:u w:val="single"/>
        </w:rPr>
      </w:pPr>
    </w:p>
    <w:p w:rsidR="0024477C" w:rsidRDefault="0024477C">
      <w:pPr>
        <w:tabs>
          <w:tab w:val="left" w:pos="2127"/>
          <w:tab w:val="left" w:pos="2268"/>
        </w:tabs>
        <w:rPr>
          <w:b/>
          <w:u w:val="single"/>
        </w:rPr>
      </w:pPr>
    </w:p>
    <w:p w:rsidR="0024477C" w:rsidRDefault="0024477C">
      <w:pPr>
        <w:tabs>
          <w:tab w:val="left" w:pos="2127"/>
          <w:tab w:val="left" w:pos="2268"/>
        </w:tabs>
        <w:rPr>
          <w:b/>
          <w:u w:val="single"/>
        </w:rPr>
      </w:pPr>
    </w:p>
    <w:p w:rsidR="0024477C" w:rsidRDefault="0024477C">
      <w:pPr>
        <w:tabs>
          <w:tab w:val="left" w:pos="2127"/>
          <w:tab w:val="left" w:pos="2268"/>
        </w:tabs>
        <w:rPr>
          <w:b/>
          <w:u w:val="single"/>
        </w:rPr>
      </w:pPr>
    </w:p>
    <w:p w:rsidR="0024477C" w:rsidRDefault="0024477C">
      <w:pPr>
        <w:tabs>
          <w:tab w:val="left" w:pos="2127"/>
          <w:tab w:val="left" w:pos="2268"/>
        </w:tabs>
        <w:rPr>
          <w:b/>
          <w:u w:val="single"/>
        </w:rPr>
      </w:pPr>
    </w:p>
    <w:p w:rsidR="0024477C" w:rsidRDefault="0024477C">
      <w:pPr>
        <w:tabs>
          <w:tab w:val="left" w:pos="2127"/>
          <w:tab w:val="left" w:pos="2268"/>
        </w:tabs>
        <w:rPr>
          <w:b/>
          <w:u w:val="single"/>
        </w:rPr>
      </w:pPr>
    </w:p>
    <w:p w:rsidR="0024477C" w:rsidRDefault="0024477C">
      <w:pPr>
        <w:tabs>
          <w:tab w:val="left" w:pos="2127"/>
          <w:tab w:val="left" w:pos="2268"/>
        </w:tabs>
        <w:rPr>
          <w:b/>
          <w:u w:val="single"/>
        </w:rPr>
      </w:pPr>
      <w:bookmarkStart w:id="1" w:name="_GoBack"/>
      <w:bookmarkEnd w:id="1"/>
    </w:p>
    <w:p w:rsidR="00966F30" w:rsidRDefault="00966F30">
      <w:pPr>
        <w:tabs>
          <w:tab w:val="left" w:pos="2127"/>
          <w:tab w:val="left" w:pos="2268"/>
        </w:tabs>
        <w:rPr>
          <w:b/>
          <w:u w:val="single"/>
        </w:rPr>
      </w:pPr>
    </w:p>
    <w:p w:rsidR="00834F8B" w:rsidRPr="000C0459" w:rsidRDefault="00391B70">
      <w:pPr>
        <w:tabs>
          <w:tab w:val="left" w:pos="2127"/>
          <w:tab w:val="left" w:pos="2268"/>
        </w:tabs>
        <w:rPr>
          <w:b/>
          <w:u w:val="single"/>
        </w:rPr>
      </w:pPr>
      <w:r w:rsidRPr="000C0459">
        <w:rPr>
          <w:b/>
          <w:u w:val="single"/>
        </w:rPr>
        <w:t>Percentage of work is dance</w:t>
      </w:r>
    </w:p>
    <w:p w:rsidR="00D15707" w:rsidRPr="000C0459" w:rsidRDefault="00D15707">
      <w:pPr>
        <w:tabs>
          <w:tab w:val="left" w:pos="2127"/>
          <w:tab w:val="left" w:pos="2268"/>
        </w:tabs>
        <w:rPr>
          <w:b/>
          <w:u w:val="single"/>
        </w:rPr>
      </w:pPr>
    </w:p>
    <w:p w:rsidR="00D15707" w:rsidRPr="000C0459" w:rsidRDefault="00D15707">
      <w:pPr>
        <w:tabs>
          <w:tab w:val="left" w:pos="2127"/>
          <w:tab w:val="left" w:pos="2268"/>
        </w:tabs>
        <w:rPr>
          <w:b/>
        </w:rPr>
      </w:pPr>
      <w:r w:rsidRPr="000C0459">
        <w:rPr>
          <w:b/>
        </w:rPr>
        <w:t>Results taken in 2015</w:t>
      </w:r>
    </w:p>
    <w:p w:rsidR="00391B70" w:rsidRDefault="00391B70">
      <w:pPr>
        <w:tabs>
          <w:tab w:val="left" w:pos="2127"/>
          <w:tab w:val="left" w:pos="2268"/>
        </w:tabs>
        <w:rPr>
          <w:u w:val="single"/>
        </w:rPr>
      </w:pPr>
    </w:p>
    <w:p w:rsidR="00F04DEA" w:rsidRDefault="00D15707">
      <w:pPr>
        <w:tabs>
          <w:tab w:val="left" w:pos="2127"/>
          <w:tab w:val="left" w:pos="2268"/>
        </w:tabs>
        <w:rPr>
          <w:u w:val="single"/>
        </w:rPr>
      </w:pPr>
      <w:r>
        <w:rPr>
          <w:noProof/>
        </w:rPr>
        <w:drawing>
          <wp:inline distT="0" distB="0" distL="0" distR="0" wp14:anchorId="0991175D" wp14:editId="33BC2C6A">
            <wp:extent cx="4572000" cy="15430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4DEA" w:rsidRPr="00F04DEA" w:rsidRDefault="00F04DEA" w:rsidP="00F04DEA"/>
    <w:p w:rsidR="00F04DEA" w:rsidRDefault="00F04DEA" w:rsidP="00F04DEA"/>
    <w:p w:rsidR="00F04DEA" w:rsidRPr="000C0459" w:rsidRDefault="00F04DEA" w:rsidP="00F04DEA">
      <w:pPr>
        <w:rPr>
          <w:b/>
        </w:rPr>
      </w:pPr>
      <w:r w:rsidRPr="000C0459">
        <w:rPr>
          <w:b/>
        </w:rPr>
        <w:t>Results taken in 2014</w:t>
      </w:r>
    </w:p>
    <w:p w:rsidR="00F04DEA" w:rsidRDefault="00F04DEA" w:rsidP="00F04DEA"/>
    <w:p w:rsidR="00F04DEA" w:rsidRDefault="00F04DEA" w:rsidP="00F04DEA">
      <w:r>
        <w:rPr>
          <w:noProof/>
        </w:rPr>
        <w:drawing>
          <wp:inline distT="0" distB="0" distL="0" distR="0" wp14:anchorId="540324E7" wp14:editId="17AB8E3B">
            <wp:extent cx="4572000" cy="157162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4DEA" w:rsidRPr="00F04DEA" w:rsidRDefault="00F04DEA" w:rsidP="00F04DEA"/>
    <w:p w:rsidR="00F04DEA" w:rsidRDefault="00F04DEA" w:rsidP="00F04DEA"/>
    <w:p w:rsidR="002B3E8D" w:rsidRDefault="00F04DEA" w:rsidP="00F04DEA">
      <w:pPr>
        <w:tabs>
          <w:tab w:val="left" w:pos="900"/>
        </w:tabs>
      </w:pPr>
      <w:r>
        <w:t xml:space="preserve">From the pie charts you can see there has been a drop from 2014-2015 in the amount of individual’s income coming from 100% dance work. </w:t>
      </w:r>
      <w:r w:rsidR="002B3E8D">
        <w:t xml:space="preserve">This was partly due to the fact that a full time Dance Lecturer left Plymouth University and their position was not replaced. </w:t>
      </w:r>
    </w:p>
    <w:p w:rsidR="002B3E8D" w:rsidRDefault="002B3E8D" w:rsidP="00F04DEA">
      <w:pPr>
        <w:tabs>
          <w:tab w:val="left" w:pos="900"/>
        </w:tabs>
      </w:pPr>
    </w:p>
    <w:p w:rsidR="00CF4ABC" w:rsidRDefault="00F04DEA" w:rsidP="00F04DEA">
      <w:pPr>
        <w:tabs>
          <w:tab w:val="left" w:pos="900"/>
        </w:tabs>
      </w:pPr>
      <w:r>
        <w:t>It is interesting however to note the amount of people working 80-99% in dance work has increased. From the individual research</w:t>
      </w:r>
      <w:r w:rsidR="002B3E8D">
        <w:t xml:space="preserve"> in 2015 it was </w:t>
      </w:r>
      <w:r>
        <w:t>noted that many participants chose to work in something other than dance for 2- 10% of their time/income</w:t>
      </w:r>
      <w:r w:rsidR="006118FA">
        <w:t>.</w:t>
      </w:r>
      <w:r w:rsidR="00586671">
        <w:t xml:space="preserve"> Also i</w:t>
      </w:r>
      <w:r w:rsidR="00CF4ABC">
        <w:t xml:space="preserve">n 2015 you can see that 70% of </w:t>
      </w:r>
      <w:r w:rsidR="00586671">
        <w:t xml:space="preserve">the </w:t>
      </w:r>
      <w:r w:rsidR="00CF4ABC">
        <w:t>peop</w:t>
      </w:r>
      <w:r w:rsidR="002B3E8D">
        <w:t>le</w:t>
      </w:r>
      <w:r w:rsidR="00586671">
        <w:t xml:space="preserve"> who were</w:t>
      </w:r>
      <w:r w:rsidR="002B3E8D">
        <w:t xml:space="preserve"> </w:t>
      </w:r>
      <w:r w:rsidR="00586671">
        <w:t>interviewed either spend 80%-100% of their time working</w:t>
      </w:r>
      <w:r w:rsidR="002B3E8D">
        <w:t xml:space="preserve"> in the dance sector</w:t>
      </w:r>
      <w:r w:rsidR="00586671">
        <w:t xml:space="preserve"> or 80%-100% of their</w:t>
      </w:r>
      <w:r w:rsidR="002B3E8D">
        <w:t xml:space="preserve"> income</w:t>
      </w:r>
      <w:r w:rsidR="00586671">
        <w:t xml:space="preserve"> is from dance work.</w:t>
      </w:r>
    </w:p>
    <w:p w:rsidR="00CF4ABC" w:rsidRDefault="00CF4ABC" w:rsidP="00F04DEA">
      <w:pPr>
        <w:tabs>
          <w:tab w:val="left" w:pos="900"/>
        </w:tabs>
      </w:pPr>
    </w:p>
    <w:p w:rsidR="00CF4ABC" w:rsidRDefault="00CF4ABC" w:rsidP="00F04DEA">
      <w:pPr>
        <w:tabs>
          <w:tab w:val="left" w:pos="900"/>
        </w:tabs>
      </w:pPr>
    </w:p>
    <w:p w:rsidR="00CF4ABC" w:rsidRDefault="00CF4ABC" w:rsidP="00F04DEA">
      <w:pPr>
        <w:tabs>
          <w:tab w:val="left" w:pos="900"/>
        </w:tabs>
      </w:pPr>
    </w:p>
    <w:p w:rsidR="00CF4ABC" w:rsidRDefault="00CF4ABC" w:rsidP="00F04DEA">
      <w:pPr>
        <w:tabs>
          <w:tab w:val="left" w:pos="900"/>
        </w:tabs>
      </w:pPr>
    </w:p>
    <w:p w:rsidR="00CF4ABC" w:rsidRDefault="00CF4ABC" w:rsidP="00F04DEA">
      <w:pPr>
        <w:tabs>
          <w:tab w:val="left" w:pos="900"/>
        </w:tabs>
      </w:pPr>
    </w:p>
    <w:p w:rsidR="00CF4ABC" w:rsidRPr="000C0459" w:rsidRDefault="00CF4ABC" w:rsidP="00F04DEA">
      <w:pPr>
        <w:tabs>
          <w:tab w:val="left" w:pos="900"/>
        </w:tabs>
        <w:rPr>
          <w:b/>
          <w:u w:val="single"/>
        </w:rPr>
      </w:pPr>
      <w:r w:rsidRPr="000C0459">
        <w:rPr>
          <w:b/>
          <w:u w:val="single"/>
        </w:rPr>
        <w:t>Disability</w:t>
      </w:r>
    </w:p>
    <w:p w:rsidR="00CF4ABC" w:rsidRDefault="00CF4ABC" w:rsidP="00F04DEA">
      <w:pPr>
        <w:tabs>
          <w:tab w:val="left" w:pos="900"/>
        </w:tabs>
      </w:pPr>
    </w:p>
    <w:p w:rsidR="00CF4ABC" w:rsidRDefault="00CF4ABC" w:rsidP="00F04DEA">
      <w:pPr>
        <w:tabs>
          <w:tab w:val="left" w:pos="900"/>
        </w:tabs>
      </w:pPr>
      <w:r>
        <w:t>This is a graph that portrays the amount of people working in the dance sector in 2015 who class themselves as having a disability. It is interesting to note but invisible within the statistics that a large amount of people mentioned having a disability but wouldn’t class them self</w:t>
      </w:r>
      <w:r w:rsidR="000D0A8D">
        <w:t xml:space="preserve"> as being disabled due to the way they have learnt to work with it.</w:t>
      </w:r>
      <w:r w:rsidR="0029783D">
        <w:t xml:space="preserve"> It is also interesting to note that all those who considered themselves to have a visible or non-visible disability were female.</w:t>
      </w:r>
    </w:p>
    <w:p w:rsidR="000D0A8D" w:rsidRDefault="000D0A8D" w:rsidP="00F04DEA">
      <w:pPr>
        <w:tabs>
          <w:tab w:val="left" w:pos="900"/>
        </w:tabs>
      </w:pPr>
    </w:p>
    <w:p w:rsidR="000D0A8D" w:rsidRDefault="000D0A8D" w:rsidP="00F04DEA">
      <w:pPr>
        <w:tabs>
          <w:tab w:val="left" w:pos="900"/>
        </w:tabs>
      </w:pPr>
      <w:r>
        <w:t>Here are the results for 2015</w:t>
      </w:r>
    </w:p>
    <w:p w:rsidR="000D0A8D" w:rsidRDefault="000D0A8D" w:rsidP="00F04DEA">
      <w:pPr>
        <w:tabs>
          <w:tab w:val="left" w:pos="900"/>
        </w:tabs>
      </w:pPr>
    </w:p>
    <w:p w:rsidR="000D0A8D" w:rsidRDefault="000D0A8D" w:rsidP="00F04DEA">
      <w:pPr>
        <w:tabs>
          <w:tab w:val="left" w:pos="900"/>
        </w:tabs>
      </w:pPr>
      <w:r>
        <w:rPr>
          <w:noProof/>
        </w:rPr>
        <w:drawing>
          <wp:inline distT="0" distB="0" distL="0" distR="0" wp14:anchorId="3E6C89E7" wp14:editId="624671F5">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0A8D" w:rsidRDefault="000D0A8D"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113812" w:rsidRDefault="00113812" w:rsidP="00F04DEA">
      <w:pPr>
        <w:tabs>
          <w:tab w:val="left" w:pos="900"/>
        </w:tabs>
      </w:pPr>
    </w:p>
    <w:p w:rsidR="000D0A8D" w:rsidRPr="00113812" w:rsidRDefault="009809C8" w:rsidP="00F04DEA">
      <w:pPr>
        <w:tabs>
          <w:tab w:val="left" w:pos="900"/>
        </w:tabs>
        <w:rPr>
          <w:b/>
          <w:u w:val="single"/>
        </w:rPr>
      </w:pPr>
      <w:r w:rsidRPr="00113812">
        <w:rPr>
          <w:b/>
          <w:u w:val="single"/>
        </w:rPr>
        <w:t>Professionals and age</w:t>
      </w:r>
    </w:p>
    <w:p w:rsidR="00113812" w:rsidRDefault="00113812" w:rsidP="00F04DEA">
      <w:pPr>
        <w:tabs>
          <w:tab w:val="left" w:pos="900"/>
        </w:tabs>
      </w:pPr>
    </w:p>
    <w:p w:rsidR="00585AA0" w:rsidRDefault="00113812" w:rsidP="00F04DEA">
      <w:pPr>
        <w:tabs>
          <w:tab w:val="left" w:pos="900"/>
        </w:tabs>
      </w:pPr>
      <w:r>
        <w:rPr>
          <w:noProof/>
        </w:rPr>
        <w:drawing>
          <wp:inline distT="0" distB="0" distL="0" distR="0" wp14:anchorId="71F1D37F" wp14:editId="1FCF9088">
            <wp:extent cx="59817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5AA0" w:rsidRDefault="00585AA0" w:rsidP="00585AA0"/>
    <w:p w:rsidR="00113812" w:rsidRDefault="00585AA0" w:rsidP="00585AA0">
      <w:pPr>
        <w:jc w:val="both"/>
      </w:pPr>
      <w:r>
        <w:t xml:space="preserve">Fantastically, there appears to be a 38 year spectrum of date of births with regards professionals </w:t>
      </w:r>
      <w:r w:rsidR="00096CDD">
        <w:t>in the city, spanning 5 decades</w:t>
      </w:r>
      <w:r w:rsidR="0029783D">
        <w:t xml:space="preserve"> (aged 19-57),</w:t>
      </w:r>
      <w:r w:rsidR="00096CDD">
        <w:t xml:space="preserve"> a four year increase since the last analysis was taken.</w:t>
      </w:r>
    </w:p>
    <w:p w:rsidR="0029783D" w:rsidRDefault="0029783D" w:rsidP="00585AA0">
      <w:pPr>
        <w:jc w:val="both"/>
      </w:pPr>
    </w:p>
    <w:p w:rsidR="0029783D" w:rsidRDefault="0029783D" w:rsidP="00585AA0">
      <w:pPr>
        <w:jc w:val="both"/>
      </w:pPr>
      <w:r>
        <w:t>64% of those interviewed are aged between 23-29 years.</w:t>
      </w:r>
    </w:p>
    <w:p w:rsidR="00096CDD" w:rsidRDefault="00096CDD" w:rsidP="00585AA0">
      <w:pPr>
        <w:jc w:val="both"/>
      </w:pPr>
    </w:p>
    <w:p w:rsidR="00096CDD" w:rsidRDefault="00096CDD"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585AA0">
      <w:pPr>
        <w:jc w:val="both"/>
      </w:pPr>
    </w:p>
    <w:p w:rsidR="00966F30" w:rsidRDefault="00966F30" w:rsidP="00966F30">
      <w:pPr>
        <w:spacing w:after="200" w:line="276" w:lineRule="auto"/>
        <w:rPr>
          <w:rFonts w:asciiTheme="minorHAnsi" w:eastAsiaTheme="minorHAnsi" w:hAnsiTheme="minorHAnsi" w:cstheme="minorBidi"/>
          <w:color w:val="auto"/>
          <w:sz w:val="22"/>
          <w:szCs w:val="22"/>
          <w:lang w:eastAsia="en-US"/>
        </w:rPr>
      </w:pPr>
    </w:p>
    <w:p w:rsidR="00966F30" w:rsidRPr="00966F30" w:rsidRDefault="00966F30" w:rsidP="00966F30">
      <w:pPr>
        <w:spacing w:after="200" w:line="276" w:lineRule="auto"/>
        <w:rPr>
          <w:rFonts w:asciiTheme="minorHAnsi" w:eastAsiaTheme="minorHAnsi" w:hAnsiTheme="minorHAnsi" w:cstheme="minorBidi"/>
          <w:color w:val="auto"/>
          <w:sz w:val="22"/>
          <w:szCs w:val="22"/>
          <w:lang w:eastAsia="en-US"/>
        </w:rPr>
      </w:pPr>
      <w:r w:rsidRPr="00966F30">
        <w:rPr>
          <w:rFonts w:asciiTheme="minorHAnsi" w:eastAsiaTheme="minorHAnsi" w:hAnsiTheme="minorHAnsi" w:cstheme="minorBidi"/>
          <w:color w:val="auto"/>
          <w:sz w:val="22"/>
          <w:szCs w:val="22"/>
          <w:lang w:eastAsia="en-US"/>
        </w:rPr>
        <w:t>This report ha</w:t>
      </w:r>
      <w:r>
        <w:rPr>
          <w:rFonts w:asciiTheme="minorHAnsi" w:eastAsiaTheme="minorHAnsi" w:hAnsiTheme="minorHAnsi" w:cstheme="minorBidi"/>
          <w:color w:val="auto"/>
          <w:sz w:val="22"/>
          <w:szCs w:val="22"/>
          <w:lang w:eastAsia="en-US"/>
        </w:rPr>
        <w:t xml:space="preserve">s been collated by Sophie </w:t>
      </w:r>
      <w:proofErr w:type="spellStart"/>
      <w:r>
        <w:rPr>
          <w:rFonts w:asciiTheme="minorHAnsi" w:eastAsiaTheme="minorHAnsi" w:hAnsiTheme="minorHAnsi" w:cstheme="minorBidi"/>
          <w:color w:val="auto"/>
          <w:sz w:val="22"/>
          <w:szCs w:val="22"/>
          <w:lang w:eastAsia="en-US"/>
        </w:rPr>
        <w:t>Northmore</w:t>
      </w:r>
      <w:proofErr w:type="spellEnd"/>
      <w:r w:rsidRPr="00966F30">
        <w:rPr>
          <w:rFonts w:asciiTheme="minorHAnsi" w:eastAsiaTheme="minorHAnsi" w:hAnsiTheme="minorHAnsi" w:cstheme="minorBidi"/>
          <w:color w:val="auto"/>
          <w:sz w:val="22"/>
          <w:szCs w:val="22"/>
          <w:lang w:eastAsia="en-US"/>
        </w:rPr>
        <w:t>, whilst working as an Intern for Plymouth Dance.</w:t>
      </w:r>
    </w:p>
    <w:p w:rsidR="00966F30" w:rsidRPr="00966F30" w:rsidRDefault="00966F30" w:rsidP="00966F30">
      <w:pPr>
        <w:spacing w:after="200" w:line="276" w:lineRule="auto"/>
        <w:rPr>
          <w:rFonts w:asciiTheme="minorHAnsi" w:eastAsiaTheme="minorHAnsi" w:hAnsiTheme="minorHAnsi" w:cstheme="minorBidi"/>
          <w:color w:val="auto"/>
          <w:sz w:val="22"/>
          <w:szCs w:val="22"/>
          <w:lang w:eastAsia="en-US"/>
        </w:rPr>
      </w:pPr>
      <w:r w:rsidRPr="00966F30">
        <w:rPr>
          <w:rFonts w:asciiTheme="minorHAnsi" w:eastAsiaTheme="minorHAnsi" w:hAnsiTheme="minorHAnsi" w:cstheme="minorBidi"/>
          <w:color w:val="auto"/>
          <w:sz w:val="22"/>
          <w:szCs w:val="22"/>
          <w:lang w:eastAsia="en-US"/>
        </w:rPr>
        <w:t>We would like to thank all those dance professionals in Plymouth who gave their time to be interviewed and contribute to this report.</w:t>
      </w:r>
    </w:p>
    <w:p w:rsidR="00966F30" w:rsidRPr="00966F30" w:rsidRDefault="00966F30" w:rsidP="00966F30">
      <w:pPr>
        <w:spacing w:after="200" w:line="276" w:lineRule="auto"/>
        <w:rPr>
          <w:rFonts w:asciiTheme="minorHAnsi" w:eastAsiaTheme="minorHAnsi" w:hAnsiTheme="minorHAnsi" w:cstheme="minorBidi"/>
          <w:color w:val="auto"/>
          <w:sz w:val="22"/>
          <w:szCs w:val="22"/>
          <w:lang w:eastAsia="en-US"/>
        </w:rPr>
      </w:pPr>
    </w:p>
    <w:p w:rsidR="00966F30" w:rsidRPr="00966F30" w:rsidRDefault="00966F30" w:rsidP="00966F30">
      <w:pPr>
        <w:spacing w:after="200" w:line="276" w:lineRule="auto"/>
        <w:rPr>
          <w:rFonts w:asciiTheme="minorHAnsi" w:eastAsiaTheme="minorHAnsi" w:hAnsiTheme="minorHAnsi" w:cstheme="minorBidi"/>
          <w:color w:val="auto"/>
          <w:sz w:val="22"/>
          <w:szCs w:val="22"/>
          <w:lang w:eastAsia="en-US"/>
        </w:rPr>
      </w:pPr>
      <w:r w:rsidRPr="00966F30">
        <w:rPr>
          <w:rFonts w:asciiTheme="minorHAnsi" w:eastAsiaTheme="minorHAnsi" w:hAnsiTheme="minorHAnsi" w:cstheme="minorBidi"/>
          <w:color w:val="auto"/>
          <w:sz w:val="22"/>
          <w:szCs w:val="22"/>
          <w:lang w:eastAsia="en-US"/>
        </w:rPr>
        <w:t>For any further information, please contact:</w:t>
      </w:r>
    </w:p>
    <w:p w:rsidR="00966F30" w:rsidRPr="00966F30" w:rsidRDefault="00966F30" w:rsidP="00966F30">
      <w:pPr>
        <w:spacing w:after="200" w:line="276" w:lineRule="auto"/>
        <w:rPr>
          <w:rFonts w:asciiTheme="minorHAnsi" w:eastAsiaTheme="minorHAnsi" w:hAnsiTheme="minorHAnsi" w:cstheme="minorBidi"/>
          <w:color w:val="auto"/>
          <w:sz w:val="22"/>
          <w:szCs w:val="22"/>
          <w:lang w:eastAsia="en-US"/>
        </w:rPr>
      </w:pPr>
    </w:p>
    <w:p w:rsidR="00966F30" w:rsidRPr="00966F30" w:rsidRDefault="00966F30" w:rsidP="00966F30">
      <w:pPr>
        <w:spacing w:after="200" w:line="276" w:lineRule="auto"/>
        <w:rPr>
          <w:rFonts w:asciiTheme="minorHAnsi" w:eastAsiaTheme="minorHAnsi" w:hAnsiTheme="minorHAnsi" w:cstheme="minorBidi"/>
          <w:color w:val="auto"/>
          <w:sz w:val="22"/>
          <w:szCs w:val="22"/>
          <w:lang w:eastAsia="en-US"/>
        </w:rPr>
      </w:pPr>
      <w:r w:rsidRPr="00966F30">
        <w:rPr>
          <w:rFonts w:asciiTheme="minorHAnsi" w:eastAsiaTheme="minorHAnsi" w:hAnsiTheme="minorHAnsi" w:cstheme="minorBidi"/>
          <w:color w:val="auto"/>
          <w:sz w:val="22"/>
          <w:szCs w:val="22"/>
          <w:lang w:eastAsia="en-US"/>
        </w:rPr>
        <w:t>Plymouth Dance</w:t>
      </w:r>
    </w:p>
    <w:p w:rsidR="00966F30" w:rsidRPr="00966F30" w:rsidRDefault="00966F30" w:rsidP="00966F30">
      <w:pPr>
        <w:spacing w:after="200" w:line="276" w:lineRule="auto"/>
        <w:rPr>
          <w:rFonts w:asciiTheme="minorHAnsi" w:eastAsiaTheme="minorHAnsi" w:hAnsiTheme="minorHAnsi" w:cstheme="minorBidi"/>
          <w:color w:val="auto"/>
          <w:sz w:val="22"/>
          <w:szCs w:val="22"/>
          <w:lang w:eastAsia="en-US"/>
        </w:rPr>
      </w:pPr>
      <w:hyperlink r:id="rId17" w:history="1">
        <w:r w:rsidRPr="00966F30">
          <w:rPr>
            <w:rFonts w:asciiTheme="minorHAnsi" w:eastAsiaTheme="minorHAnsi" w:hAnsiTheme="minorHAnsi" w:cstheme="minorBidi"/>
            <w:color w:val="0000FF"/>
            <w:sz w:val="22"/>
            <w:szCs w:val="22"/>
            <w:u w:val="single"/>
            <w:lang w:eastAsia="en-US"/>
          </w:rPr>
          <w:t>admin@plymouthdance.org.uk</w:t>
        </w:r>
      </w:hyperlink>
    </w:p>
    <w:p w:rsidR="00966F30" w:rsidRPr="00966F30" w:rsidRDefault="00966F30" w:rsidP="00966F30">
      <w:pPr>
        <w:spacing w:after="200" w:line="276" w:lineRule="auto"/>
        <w:rPr>
          <w:rFonts w:asciiTheme="minorHAnsi" w:eastAsiaTheme="minorHAnsi" w:hAnsiTheme="minorHAnsi" w:cstheme="minorBidi"/>
          <w:color w:val="auto"/>
          <w:sz w:val="22"/>
          <w:szCs w:val="22"/>
          <w:lang w:eastAsia="en-US"/>
        </w:rPr>
      </w:pPr>
      <w:hyperlink r:id="rId18" w:history="1">
        <w:r w:rsidRPr="00966F30">
          <w:rPr>
            <w:rFonts w:asciiTheme="minorHAnsi" w:eastAsiaTheme="minorHAnsi" w:hAnsiTheme="minorHAnsi" w:cstheme="minorBidi"/>
            <w:color w:val="0000FF"/>
            <w:sz w:val="22"/>
            <w:szCs w:val="22"/>
            <w:u w:val="single"/>
            <w:lang w:eastAsia="en-US"/>
          </w:rPr>
          <w:t>www.plymouthdance.org.uk</w:t>
        </w:r>
      </w:hyperlink>
    </w:p>
    <w:p w:rsidR="00966F30" w:rsidRPr="00966F30" w:rsidRDefault="00966F30" w:rsidP="00966F30">
      <w:pPr>
        <w:spacing w:after="200" w:line="276" w:lineRule="auto"/>
        <w:rPr>
          <w:rFonts w:asciiTheme="minorHAnsi" w:eastAsiaTheme="minorHAnsi" w:hAnsiTheme="minorHAnsi" w:cstheme="minorBidi"/>
          <w:color w:val="auto"/>
          <w:sz w:val="22"/>
          <w:szCs w:val="22"/>
          <w:lang w:eastAsia="en-US"/>
        </w:rPr>
      </w:pPr>
    </w:p>
    <w:p w:rsidR="00966F30" w:rsidRDefault="00966F30" w:rsidP="00585AA0">
      <w:pPr>
        <w:jc w:val="both"/>
      </w:pPr>
    </w:p>
    <w:p w:rsidR="00966F30" w:rsidRDefault="00966F30" w:rsidP="00585AA0">
      <w:pPr>
        <w:jc w:val="both"/>
      </w:pPr>
    </w:p>
    <w:p w:rsidR="00966F30" w:rsidRPr="00585AA0" w:rsidRDefault="00966F30" w:rsidP="00585AA0">
      <w:pPr>
        <w:jc w:val="both"/>
      </w:pPr>
    </w:p>
    <w:sectPr w:rsidR="00966F30" w:rsidRPr="00585AA0">
      <w:headerReference w:type="default" r:id="rId19"/>
      <w:footerReference w:type="default" r:id="rId2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9B" w:rsidRDefault="00870E9B">
      <w:r>
        <w:separator/>
      </w:r>
    </w:p>
  </w:endnote>
  <w:endnote w:type="continuationSeparator" w:id="0">
    <w:p w:rsidR="00870E9B" w:rsidRDefault="0087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1" w:rsidRDefault="001E4B31">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9B" w:rsidRDefault="00870E9B">
      <w:r>
        <w:separator/>
      </w:r>
    </w:p>
  </w:footnote>
  <w:footnote w:type="continuationSeparator" w:id="0">
    <w:p w:rsidR="00870E9B" w:rsidRDefault="0087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0C" w:rsidRDefault="00C1293B">
    <w:pPr>
      <w:tabs>
        <w:tab w:val="center" w:pos="4320"/>
        <w:tab w:val="right" w:pos="8640"/>
      </w:tabs>
      <w:spacing w:before="720"/>
    </w:pPr>
    <w:r>
      <w:rPr>
        <w:noProof/>
      </w:rPr>
      <w:drawing>
        <wp:anchor distT="0" distB="0" distL="114300" distR="114300" simplePos="0" relativeHeight="251658240" behindDoc="0" locked="0" layoutInCell="0" hidden="0" allowOverlap="0">
          <wp:simplePos x="0" y="0"/>
          <wp:positionH relativeFrom="margin">
            <wp:posOffset>-2057399</wp:posOffset>
          </wp:positionH>
          <wp:positionV relativeFrom="paragraph">
            <wp:posOffset>-228599</wp:posOffset>
          </wp:positionV>
          <wp:extent cx="9215755" cy="1600200"/>
          <wp:effectExtent l="0" t="0" r="0" b="0"/>
          <wp:wrapNone/>
          <wp:docPr id="1" name="image01.jpg" descr="Description: Sadie-main:Users:Sadie:Desktop:pd_logo_band.jpg"/>
          <wp:cNvGraphicFramePr/>
          <a:graphic xmlns:a="http://schemas.openxmlformats.org/drawingml/2006/main">
            <a:graphicData uri="http://schemas.openxmlformats.org/drawingml/2006/picture">
              <pic:pic xmlns:pic="http://schemas.openxmlformats.org/drawingml/2006/picture">
                <pic:nvPicPr>
                  <pic:cNvPr id="0" name="image01.jpg" descr="Description: Sadie-main:Users:Sadie:Desktop:pd_logo_band.jpg"/>
                  <pic:cNvPicPr preferRelativeResize="0"/>
                </pic:nvPicPr>
                <pic:blipFill>
                  <a:blip r:embed="rId1"/>
                  <a:srcRect/>
                  <a:stretch>
                    <a:fillRect/>
                  </a:stretch>
                </pic:blipFill>
                <pic:spPr>
                  <a:xfrm>
                    <a:off x="0" y="0"/>
                    <a:ext cx="9215755" cy="1600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10C"/>
    <w:rsid w:val="000243D8"/>
    <w:rsid w:val="00096C4B"/>
    <w:rsid w:val="00096CDD"/>
    <w:rsid w:val="000C0459"/>
    <w:rsid w:val="000D0A8D"/>
    <w:rsid w:val="00113812"/>
    <w:rsid w:val="001E4B31"/>
    <w:rsid w:val="0024477C"/>
    <w:rsid w:val="0029783D"/>
    <w:rsid w:val="002B3E8D"/>
    <w:rsid w:val="00391B70"/>
    <w:rsid w:val="003A7321"/>
    <w:rsid w:val="0045210C"/>
    <w:rsid w:val="005841EA"/>
    <w:rsid w:val="00585AA0"/>
    <w:rsid w:val="00586671"/>
    <w:rsid w:val="005E0003"/>
    <w:rsid w:val="005E7784"/>
    <w:rsid w:val="006118FA"/>
    <w:rsid w:val="0073671E"/>
    <w:rsid w:val="00834F8B"/>
    <w:rsid w:val="00870E9B"/>
    <w:rsid w:val="00893160"/>
    <w:rsid w:val="0089402E"/>
    <w:rsid w:val="00966F30"/>
    <w:rsid w:val="009809C8"/>
    <w:rsid w:val="00AD69FB"/>
    <w:rsid w:val="00BF5712"/>
    <w:rsid w:val="00C1293B"/>
    <w:rsid w:val="00CC6A65"/>
    <w:rsid w:val="00CE263D"/>
    <w:rsid w:val="00CF4ABC"/>
    <w:rsid w:val="00D112E2"/>
    <w:rsid w:val="00D15707"/>
    <w:rsid w:val="00F04DEA"/>
    <w:rsid w:val="00F3555F"/>
    <w:rsid w:val="00F4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43D8"/>
    <w:rPr>
      <w:rFonts w:ascii="Tahoma" w:hAnsi="Tahoma" w:cs="Tahoma"/>
      <w:sz w:val="16"/>
      <w:szCs w:val="16"/>
    </w:rPr>
  </w:style>
  <w:style w:type="character" w:customStyle="1" w:styleId="BalloonTextChar">
    <w:name w:val="Balloon Text Char"/>
    <w:basedOn w:val="DefaultParagraphFont"/>
    <w:link w:val="BalloonText"/>
    <w:uiPriority w:val="99"/>
    <w:semiHidden/>
    <w:rsid w:val="000243D8"/>
    <w:rPr>
      <w:rFonts w:ascii="Tahoma" w:hAnsi="Tahoma" w:cs="Tahoma"/>
      <w:sz w:val="16"/>
      <w:szCs w:val="16"/>
    </w:rPr>
  </w:style>
  <w:style w:type="paragraph" w:styleId="Header">
    <w:name w:val="header"/>
    <w:basedOn w:val="Normal"/>
    <w:link w:val="HeaderChar"/>
    <w:uiPriority w:val="99"/>
    <w:unhideWhenUsed/>
    <w:rsid w:val="000243D8"/>
    <w:pPr>
      <w:tabs>
        <w:tab w:val="center" w:pos="4513"/>
        <w:tab w:val="right" w:pos="9026"/>
      </w:tabs>
    </w:pPr>
  </w:style>
  <w:style w:type="character" w:customStyle="1" w:styleId="HeaderChar">
    <w:name w:val="Header Char"/>
    <w:basedOn w:val="DefaultParagraphFont"/>
    <w:link w:val="Header"/>
    <w:uiPriority w:val="99"/>
    <w:rsid w:val="000243D8"/>
  </w:style>
  <w:style w:type="paragraph" w:styleId="Footer">
    <w:name w:val="footer"/>
    <w:basedOn w:val="Normal"/>
    <w:link w:val="FooterChar"/>
    <w:uiPriority w:val="99"/>
    <w:unhideWhenUsed/>
    <w:rsid w:val="000243D8"/>
    <w:pPr>
      <w:tabs>
        <w:tab w:val="center" w:pos="4513"/>
        <w:tab w:val="right" w:pos="9026"/>
      </w:tabs>
    </w:pPr>
  </w:style>
  <w:style w:type="character" w:customStyle="1" w:styleId="FooterChar">
    <w:name w:val="Footer Char"/>
    <w:basedOn w:val="DefaultParagraphFont"/>
    <w:link w:val="Footer"/>
    <w:uiPriority w:val="99"/>
    <w:rsid w:val="00024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43D8"/>
    <w:rPr>
      <w:rFonts w:ascii="Tahoma" w:hAnsi="Tahoma" w:cs="Tahoma"/>
      <w:sz w:val="16"/>
      <w:szCs w:val="16"/>
    </w:rPr>
  </w:style>
  <w:style w:type="character" w:customStyle="1" w:styleId="BalloonTextChar">
    <w:name w:val="Balloon Text Char"/>
    <w:basedOn w:val="DefaultParagraphFont"/>
    <w:link w:val="BalloonText"/>
    <w:uiPriority w:val="99"/>
    <w:semiHidden/>
    <w:rsid w:val="000243D8"/>
    <w:rPr>
      <w:rFonts w:ascii="Tahoma" w:hAnsi="Tahoma" w:cs="Tahoma"/>
      <w:sz w:val="16"/>
      <w:szCs w:val="16"/>
    </w:rPr>
  </w:style>
  <w:style w:type="paragraph" w:styleId="Header">
    <w:name w:val="header"/>
    <w:basedOn w:val="Normal"/>
    <w:link w:val="HeaderChar"/>
    <w:uiPriority w:val="99"/>
    <w:unhideWhenUsed/>
    <w:rsid w:val="000243D8"/>
    <w:pPr>
      <w:tabs>
        <w:tab w:val="center" w:pos="4513"/>
        <w:tab w:val="right" w:pos="9026"/>
      </w:tabs>
    </w:pPr>
  </w:style>
  <w:style w:type="character" w:customStyle="1" w:styleId="HeaderChar">
    <w:name w:val="Header Char"/>
    <w:basedOn w:val="DefaultParagraphFont"/>
    <w:link w:val="Header"/>
    <w:uiPriority w:val="99"/>
    <w:rsid w:val="000243D8"/>
  </w:style>
  <w:style w:type="paragraph" w:styleId="Footer">
    <w:name w:val="footer"/>
    <w:basedOn w:val="Normal"/>
    <w:link w:val="FooterChar"/>
    <w:uiPriority w:val="99"/>
    <w:unhideWhenUsed/>
    <w:rsid w:val="000243D8"/>
    <w:pPr>
      <w:tabs>
        <w:tab w:val="center" w:pos="4513"/>
        <w:tab w:val="right" w:pos="9026"/>
      </w:tabs>
    </w:pPr>
  </w:style>
  <w:style w:type="character" w:customStyle="1" w:styleId="FooterChar">
    <w:name w:val="Footer Char"/>
    <w:basedOn w:val="DefaultParagraphFont"/>
    <w:link w:val="Footer"/>
    <w:uiPriority w:val="99"/>
    <w:rsid w:val="0002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plymouthdance.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mailto:admin@plymouthdance.org.uk" TargetMode="Externa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image" Target="../media/image1.jpeg"/></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Female</c:v>
                </c:pt>
              </c:strCache>
            </c:strRef>
          </c:tx>
          <c:invertIfNegative val="0"/>
          <c:cat>
            <c:strRef>
              <c:f>Sheet1!$A$2:$A$14</c:f>
              <c:strCache>
                <c:ptCount val="13"/>
                <c:pt idx="0">
                  <c:v>Australia</c:v>
                </c:pt>
                <c:pt idx="1">
                  <c:v>Birmingham</c:v>
                </c:pt>
                <c:pt idx="2">
                  <c:v>Bristol</c:v>
                </c:pt>
                <c:pt idx="3">
                  <c:v>Dawlish</c:v>
                </c:pt>
                <c:pt idx="4">
                  <c:v>Gunnislake</c:v>
                </c:pt>
                <c:pt idx="5">
                  <c:v>Iran</c:v>
                </c:pt>
                <c:pt idx="6">
                  <c:v>Liverpool</c:v>
                </c:pt>
                <c:pt idx="7">
                  <c:v>London</c:v>
                </c:pt>
                <c:pt idx="8">
                  <c:v>Paisley</c:v>
                </c:pt>
                <c:pt idx="9">
                  <c:v>Plymouth</c:v>
                </c:pt>
                <c:pt idx="10">
                  <c:v>Poland</c:v>
                </c:pt>
                <c:pt idx="11">
                  <c:v>Southport</c:v>
                </c:pt>
                <c:pt idx="12">
                  <c:v>Totnes</c:v>
                </c:pt>
              </c:strCache>
            </c:strRef>
          </c:cat>
          <c:val>
            <c:numRef>
              <c:f>Sheet1!$B$2:$B$14</c:f>
              <c:numCache>
                <c:formatCode>General</c:formatCode>
                <c:ptCount val="13"/>
                <c:pt idx="0">
                  <c:v>0</c:v>
                </c:pt>
                <c:pt idx="1">
                  <c:v>1</c:v>
                </c:pt>
                <c:pt idx="2">
                  <c:v>1</c:v>
                </c:pt>
                <c:pt idx="3">
                  <c:v>1</c:v>
                </c:pt>
                <c:pt idx="4">
                  <c:v>1</c:v>
                </c:pt>
                <c:pt idx="5">
                  <c:v>1</c:v>
                </c:pt>
                <c:pt idx="6">
                  <c:v>1</c:v>
                </c:pt>
                <c:pt idx="7">
                  <c:v>0</c:v>
                </c:pt>
                <c:pt idx="8">
                  <c:v>0</c:v>
                </c:pt>
                <c:pt idx="9">
                  <c:v>10</c:v>
                </c:pt>
                <c:pt idx="10">
                  <c:v>0</c:v>
                </c:pt>
                <c:pt idx="11">
                  <c:v>1</c:v>
                </c:pt>
                <c:pt idx="12">
                  <c:v>1</c:v>
                </c:pt>
              </c:numCache>
            </c:numRef>
          </c:val>
        </c:ser>
        <c:ser>
          <c:idx val="1"/>
          <c:order val="1"/>
          <c:tx>
            <c:strRef>
              <c:f>Sheet1!$C$1</c:f>
              <c:strCache>
                <c:ptCount val="1"/>
                <c:pt idx="0">
                  <c:v>Male</c:v>
                </c:pt>
              </c:strCache>
            </c:strRef>
          </c:tx>
          <c:invertIfNegative val="0"/>
          <c:cat>
            <c:strRef>
              <c:f>Sheet1!$A$2:$A$14</c:f>
              <c:strCache>
                <c:ptCount val="13"/>
                <c:pt idx="0">
                  <c:v>Australia</c:v>
                </c:pt>
                <c:pt idx="1">
                  <c:v>Birmingham</c:v>
                </c:pt>
                <c:pt idx="2">
                  <c:v>Bristol</c:v>
                </c:pt>
                <c:pt idx="3">
                  <c:v>Dawlish</c:v>
                </c:pt>
                <c:pt idx="4">
                  <c:v>Gunnislake</c:v>
                </c:pt>
                <c:pt idx="5">
                  <c:v>Iran</c:v>
                </c:pt>
                <c:pt idx="6">
                  <c:v>Liverpool</c:v>
                </c:pt>
                <c:pt idx="7">
                  <c:v>London</c:v>
                </c:pt>
                <c:pt idx="8">
                  <c:v>Paisley</c:v>
                </c:pt>
                <c:pt idx="9">
                  <c:v>Plymouth</c:v>
                </c:pt>
                <c:pt idx="10">
                  <c:v>Poland</c:v>
                </c:pt>
                <c:pt idx="11">
                  <c:v>Southport</c:v>
                </c:pt>
                <c:pt idx="12">
                  <c:v>Totnes</c:v>
                </c:pt>
              </c:strCache>
            </c:strRef>
          </c:cat>
          <c:val>
            <c:numRef>
              <c:f>Sheet1!$C$2:$C$14</c:f>
              <c:numCache>
                <c:formatCode>General</c:formatCode>
                <c:ptCount val="13"/>
                <c:pt idx="0">
                  <c:v>1</c:v>
                </c:pt>
                <c:pt idx="1">
                  <c:v>0</c:v>
                </c:pt>
                <c:pt idx="2">
                  <c:v>0</c:v>
                </c:pt>
                <c:pt idx="3">
                  <c:v>0</c:v>
                </c:pt>
                <c:pt idx="4">
                  <c:v>0</c:v>
                </c:pt>
                <c:pt idx="5">
                  <c:v>0</c:v>
                </c:pt>
                <c:pt idx="6">
                  <c:v>0</c:v>
                </c:pt>
                <c:pt idx="7">
                  <c:v>1</c:v>
                </c:pt>
                <c:pt idx="8">
                  <c:v>1</c:v>
                </c:pt>
                <c:pt idx="9">
                  <c:v>0</c:v>
                </c:pt>
                <c:pt idx="10">
                  <c:v>1</c:v>
                </c:pt>
                <c:pt idx="11">
                  <c:v>0</c:v>
                </c:pt>
                <c:pt idx="12">
                  <c:v>0</c:v>
                </c:pt>
              </c:numCache>
            </c:numRef>
          </c:val>
        </c:ser>
        <c:dLbls>
          <c:showLegendKey val="0"/>
          <c:showVal val="0"/>
          <c:showCatName val="0"/>
          <c:showSerName val="0"/>
          <c:showPercent val="0"/>
          <c:showBubbleSize val="0"/>
        </c:dLbls>
        <c:gapWidth val="150"/>
        <c:axId val="216429312"/>
        <c:axId val="216430848"/>
      </c:barChart>
      <c:catAx>
        <c:axId val="216429312"/>
        <c:scaling>
          <c:orientation val="minMax"/>
        </c:scaling>
        <c:delete val="0"/>
        <c:axPos val="b"/>
        <c:majorTickMark val="out"/>
        <c:minorTickMark val="none"/>
        <c:tickLblPos val="nextTo"/>
        <c:crossAx val="216430848"/>
        <c:crosses val="autoZero"/>
        <c:auto val="1"/>
        <c:lblAlgn val="ctr"/>
        <c:lblOffset val="100"/>
        <c:noMultiLvlLbl val="0"/>
      </c:catAx>
      <c:valAx>
        <c:axId val="216430848"/>
        <c:scaling>
          <c:orientation val="minMax"/>
        </c:scaling>
        <c:delete val="0"/>
        <c:axPos val="l"/>
        <c:majorGridlines/>
        <c:numFmt formatCode="General" sourceLinked="1"/>
        <c:majorTickMark val="out"/>
        <c:minorTickMark val="none"/>
        <c:tickLblPos val="nextTo"/>
        <c:crossAx val="2164293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Female</c:v>
                </c:pt>
              </c:strCache>
            </c:strRef>
          </c:tx>
          <c:invertIfNegative val="0"/>
          <c:cat>
            <c:strRef>
              <c:f>Sheet1!$A$2:$A$20</c:f>
              <c:strCache>
                <c:ptCount val="19"/>
                <c:pt idx="0">
                  <c:v>Australia</c:v>
                </c:pt>
                <c:pt idx="1">
                  <c:v>Barnstaple</c:v>
                </c:pt>
                <c:pt idx="2">
                  <c:v>Birmingham</c:v>
                </c:pt>
                <c:pt idx="3">
                  <c:v>Blackpool</c:v>
                </c:pt>
                <c:pt idx="4">
                  <c:v>Bolton</c:v>
                </c:pt>
                <c:pt idx="5">
                  <c:v>Bristol</c:v>
                </c:pt>
                <c:pt idx="6">
                  <c:v>Dawlish</c:v>
                </c:pt>
                <c:pt idx="7">
                  <c:v>Gosport</c:v>
                </c:pt>
                <c:pt idx="8">
                  <c:v>Gunnislake</c:v>
                </c:pt>
                <c:pt idx="9">
                  <c:v>India</c:v>
                </c:pt>
                <c:pt idx="10">
                  <c:v>Iran</c:v>
                </c:pt>
                <c:pt idx="11">
                  <c:v>Liverpool</c:v>
                </c:pt>
                <c:pt idx="12">
                  <c:v>London</c:v>
                </c:pt>
                <c:pt idx="13">
                  <c:v>Manchester</c:v>
                </c:pt>
                <c:pt idx="14">
                  <c:v>Paisley</c:v>
                </c:pt>
                <c:pt idx="15">
                  <c:v>Plymouth</c:v>
                </c:pt>
                <c:pt idx="16">
                  <c:v>Poland</c:v>
                </c:pt>
                <c:pt idx="17">
                  <c:v>Shrewsbury</c:v>
                </c:pt>
                <c:pt idx="18">
                  <c:v>Wolverhampton</c:v>
                </c:pt>
              </c:strCache>
            </c:strRef>
          </c:cat>
          <c:val>
            <c:numRef>
              <c:f>Sheet1!$B$2:$B$20</c:f>
              <c:numCache>
                <c:formatCode>General</c:formatCode>
                <c:ptCount val="19"/>
                <c:pt idx="0">
                  <c:v>0</c:v>
                </c:pt>
                <c:pt idx="1">
                  <c:v>1</c:v>
                </c:pt>
                <c:pt idx="2">
                  <c:v>1</c:v>
                </c:pt>
                <c:pt idx="3">
                  <c:v>0</c:v>
                </c:pt>
                <c:pt idx="4">
                  <c:v>1</c:v>
                </c:pt>
                <c:pt idx="5">
                  <c:v>1</c:v>
                </c:pt>
                <c:pt idx="6">
                  <c:v>1</c:v>
                </c:pt>
                <c:pt idx="7">
                  <c:v>1</c:v>
                </c:pt>
                <c:pt idx="8">
                  <c:v>1</c:v>
                </c:pt>
                <c:pt idx="9">
                  <c:v>1</c:v>
                </c:pt>
                <c:pt idx="10">
                  <c:v>1</c:v>
                </c:pt>
                <c:pt idx="11">
                  <c:v>1</c:v>
                </c:pt>
                <c:pt idx="12">
                  <c:v>0</c:v>
                </c:pt>
                <c:pt idx="13">
                  <c:v>2</c:v>
                </c:pt>
                <c:pt idx="14">
                  <c:v>0</c:v>
                </c:pt>
                <c:pt idx="15">
                  <c:v>5</c:v>
                </c:pt>
                <c:pt idx="16">
                  <c:v>0</c:v>
                </c:pt>
                <c:pt idx="17">
                  <c:v>1</c:v>
                </c:pt>
                <c:pt idx="18">
                  <c:v>0</c:v>
                </c:pt>
              </c:numCache>
            </c:numRef>
          </c:val>
        </c:ser>
        <c:ser>
          <c:idx val="1"/>
          <c:order val="1"/>
          <c:tx>
            <c:strRef>
              <c:f>Sheet1!$C$1</c:f>
              <c:strCache>
                <c:ptCount val="1"/>
                <c:pt idx="0">
                  <c:v>Male</c:v>
                </c:pt>
              </c:strCache>
            </c:strRef>
          </c:tx>
          <c:invertIfNegative val="0"/>
          <c:cat>
            <c:strRef>
              <c:f>Sheet1!$A$2:$A$20</c:f>
              <c:strCache>
                <c:ptCount val="19"/>
                <c:pt idx="0">
                  <c:v>Australia</c:v>
                </c:pt>
                <c:pt idx="1">
                  <c:v>Barnstaple</c:v>
                </c:pt>
                <c:pt idx="2">
                  <c:v>Birmingham</c:v>
                </c:pt>
                <c:pt idx="3">
                  <c:v>Blackpool</c:v>
                </c:pt>
                <c:pt idx="4">
                  <c:v>Bolton</c:v>
                </c:pt>
                <c:pt idx="5">
                  <c:v>Bristol</c:v>
                </c:pt>
                <c:pt idx="6">
                  <c:v>Dawlish</c:v>
                </c:pt>
                <c:pt idx="7">
                  <c:v>Gosport</c:v>
                </c:pt>
                <c:pt idx="8">
                  <c:v>Gunnislake</c:v>
                </c:pt>
                <c:pt idx="9">
                  <c:v>India</c:v>
                </c:pt>
                <c:pt idx="10">
                  <c:v>Iran</c:v>
                </c:pt>
                <c:pt idx="11">
                  <c:v>Liverpool</c:v>
                </c:pt>
                <c:pt idx="12">
                  <c:v>London</c:v>
                </c:pt>
                <c:pt idx="13">
                  <c:v>Manchester</c:v>
                </c:pt>
                <c:pt idx="14">
                  <c:v>Paisley</c:v>
                </c:pt>
                <c:pt idx="15">
                  <c:v>Plymouth</c:v>
                </c:pt>
                <c:pt idx="16">
                  <c:v>Poland</c:v>
                </c:pt>
                <c:pt idx="17">
                  <c:v>Shrewsbury</c:v>
                </c:pt>
                <c:pt idx="18">
                  <c:v>Wolverhampton</c:v>
                </c:pt>
              </c:strCache>
            </c:strRef>
          </c:cat>
          <c:val>
            <c:numRef>
              <c:f>Sheet1!$C$2:$C$20</c:f>
              <c:numCache>
                <c:formatCode>General</c:formatCode>
                <c:ptCount val="19"/>
                <c:pt idx="0">
                  <c:v>1</c:v>
                </c:pt>
                <c:pt idx="1">
                  <c:v>0</c:v>
                </c:pt>
                <c:pt idx="2">
                  <c:v>0</c:v>
                </c:pt>
                <c:pt idx="3">
                  <c:v>1</c:v>
                </c:pt>
                <c:pt idx="4">
                  <c:v>0</c:v>
                </c:pt>
                <c:pt idx="5">
                  <c:v>0</c:v>
                </c:pt>
                <c:pt idx="6">
                  <c:v>0</c:v>
                </c:pt>
                <c:pt idx="7">
                  <c:v>0</c:v>
                </c:pt>
                <c:pt idx="8">
                  <c:v>0</c:v>
                </c:pt>
                <c:pt idx="9">
                  <c:v>0</c:v>
                </c:pt>
                <c:pt idx="10">
                  <c:v>0</c:v>
                </c:pt>
                <c:pt idx="11">
                  <c:v>0</c:v>
                </c:pt>
                <c:pt idx="12">
                  <c:v>1</c:v>
                </c:pt>
                <c:pt idx="13">
                  <c:v>0</c:v>
                </c:pt>
                <c:pt idx="14">
                  <c:v>1</c:v>
                </c:pt>
                <c:pt idx="15">
                  <c:v>0</c:v>
                </c:pt>
                <c:pt idx="16">
                  <c:v>1</c:v>
                </c:pt>
                <c:pt idx="17">
                  <c:v>0</c:v>
                </c:pt>
                <c:pt idx="18">
                  <c:v>1</c:v>
                </c:pt>
              </c:numCache>
            </c:numRef>
          </c:val>
        </c:ser>
        <c:dLbls>
          <c:showLegendKey val="0"/>
          <c:showVal val="0"/>
          <c:showCatName val="0"/>
          <c:showSerName val="0"/>
          <c:showPercent val="0"/>
          <c:showBubbleSize val="0"/>
        </c:dLbls>
        <c:gapWidth val="150"/>
        <c:axId val="239432448"/>
        <c:axId val="239435136"/>
      </c:barChart>
      <c:catAx>
        <c:axId val="239432448"/>
        <c:scaling>
          <c:orientation val="minMax"/>
        </c:scaling>
        <c:delete val="0"/>
        <c:axPos val="b"/>
        <c:majorTickMark val="out"/>
        <c:minorTickMark val="none"/>
        <c:tickLblPos val="nextTo"/>
        <c:crossAx val="239435136"/>
        <c:crosses val="autoZero"/>
        <c:auto val="1"/>
        <c:lblAlgn val="ctr"/>
        <c:lblOffset val="100"/>
        <c:noMultiLvlLbl val="0"/>
      </c:catAx>
      <c:valAx>
        <c:axId val="239435136"/>
        <c:scaling>
          <c:orientation val="minMax"/>
        </c:scaling>
        <c:delete val="0"/>
        <c:axPos val="l"/>
        <c:majorGridlines/>
        <c:numFmt formatCode="General" sourceLinked="1"/>
        <c:majorTickMark val="out"/>
        <c:minorTickMark val="none"/>
        <c:tickLblPos val="nextTo"/>
        <c:crossAx val="2394324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Male</c:v>
                </c:pt>
              </c:strCache>
            </c:strRef>
          </c:tx>
          <c:invertIfNegative val="0"/>
          <c:cat>
            <c:strRef>
              <c:f>Sheet1!$A$2:$A$7</c:f>
              <c:strCache>
                <c:ptCount val="6"/>
                <c:pt idx="0">
                  <c:v>North-West</c:v>
                </c:pt>
                <c:pt idx="1">
                  <c:v>Scotland</c:v>
                </c:pt>
                <c:pt idx="2">
                  <c:v>South-West</c:v>
                </c:pt>
                <c:pt idx="3">
                  <c:v>South-East</c:v>
                </c:pt>
                <c:pt idx="4">
                  <c:v>Midlands</c:v>
                </c:pt>
                <c:pt idx="5">
                  <c:v>Outside UK</c:v>
                </c:pt>
              </c:strCache>
            </c:strRef>
          </c:cat>
          <c:val>
            <c:numRef>
              <c:f>Sheet1!$B$2:$B$7</c:f>
              <c:numCache>
                <c:formatCode>General</c:formatCode>
                <c:ptCount val="6"/>
                <c:pt idx="0">
                  <c:v>0</c:v>
                </c:pt>
                <c:pt idx="1">
                  <c:v>1</c:v>
                </c:pt>
                <c:pt idx="2">
                  <c:v>0</c:v>
                </c:pt>
                <c:pt idx="3">
                  <c:v>1</c:v>
                </c:pt>
                <c:pt idx="4">
                  <c:v>0</c:v>
                </c:pt>
                <c:pt idx="5">
                  <c:v>2</c:v>
                </c:pt>
              </c:numCache>
            </c:numRef>
          </c:val>
        </c:ser>
        <c:ser>
          <c:idx val="1"/>
          <c:order val="1"/>
          <c:tx>
            <c:strRef>
              <c:f>Sheet1!$C$1</c:f>
              <c:strCache>
                <c:ptCount val="1"/>
                <c:pt idx="0">
                  <c:v>Female</c:v>
                </c:pt>
              </c:strCache>
            </c:strRef>
          </c:tx>
          <c:invertIfNegative val="0"/>
          <c:cat>
            <c:strRef>
              <c:f>Sheet1!$A$2:$A$7</c:f>
              <c:strCache>
                <c:ptCount val="6"/>
                <c:pt idx="0">
                  <c:v>North-West</c:v>
                </c:pt>
                <c:pt idx="1">
                  <c:v>Scotland</c:v>
                </c:pt>
                <c:pt idx="2">
                  <c:v>South-West</c:v>
                </c:pt>
                <c:pt idx="3">
                  <c:v>South-East</c:v>
                </c:pt>
                <c:pt idx="4">
                  <c:v>Midlands</c:v>
                </c:pt>
                <c:pt idx="5">
                  <c:v>Outside UK</c:v>
                </c:pt>
              </c:strCache>
            </c:strRef>
          </c:cat>
          <c:val>
            <c:numRef>
              <c:f>Sheet1!$C$2:$C$7</c:f>
              <c:numCache>
                <c:formatCode>General</c:formatCode>
                <c:ptCount val="6"/>
                <c:pt idx="0">
                  <c:v>2</c:v>
                </c:pt>
                <c:pt idx="1">
                  <c:v>0</c:v>
                </c:pt>
                <c:pt idx="2">
                  <c:v>14</c:v>
                </c:pt>
                <c:pt idx="3">
                  <c:v>0</c:v>
                </c:pt>
                <c:pt idx="4">
                  <c:v>1</c:v>
                </c:pt>
                <c:pt idx="5">
                  <c:v>1</c:v>
                </c:pt>
              </c:numCache>
            </c:numRef>
          </c:val>
        </c:ser>
        <c:dLbls>
          <c:showLegendKey val="0"/>
          <c:showVal val="0"/>
          <c:showCatName val="0"/>
          <c:showSerName val="0"/>
          <c:showPercent val="0"/>
          <c:showBubbleSize val="0"/>
        </c:dLbls>
        <c:gapWidth val="150"/>
        <c:shape val="cylinder"/>
        <c:axId val="203305344"/>
        <c:axId val="203306880"/>
        <c:axId val="0"/>
      </c:bar3DChart>
      <c:catAx>
        <c:axId val="203305344"/>
        <c:scaling>
          <c:orientation val="minMax"/>
        </c:scaling>
        <c:delete val="0"/>
        <c:axPos val="b"/>
        <c:majorTickMark val="out"/>
        <c:minorTickMark val="none"/>
        <c:tickLblPos val="nextTo"/>
        <c:crossAx val="203306880"/>
        <c:crosses val="autoZero"/>
        <c:auto val="1"/>
        <c:lblAlgn val="ctr"/>
        <c:lblOffset val="100"/>
        <c:noMultiLvlLbl val="0"/>
      </c:catAx>
      <c:valAx>
        <c:axId val="203306880"/>
        <c:scaling>
          <c:orientation val="minMax"/>
        </c:scaling>
        <c:delete val="0"/>
        <c:axPos val="l"/>
        <c:majorGridlines/>
        <c:numFmt formatCode="General" sourceLinked="1"/>
        <c:majorTickMark val="out"/>
        <c:minorTickMark val="none"/>
        <c:tickLblPos val="nextTo"/>
        <c:crossAx val="2033053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Postcode</c:v>
                </c:pt>
              </c:strCache>
            </c:strRef>
          </c:tx>
          <c:marker>
            <c:symbol val="none"/>
          </c:marker>
          <c:cat>
            <c:strRef>
              <c:f>Sheet1!$A$2:$A$13</c:f>
              <c:strCache>
                <c:ptCount val="12"/>
                <c:pt idx="0">
                  <c:v>PL1</c:v>
                </c:pt>
                <c:pt idx="1">
                  <c:v>PL2</c:v>
                </c:pt>
                <c:pt idx="2">
                  <c:v>PL3</c:v>
                </c:pt>
                <c:pt idx="3">
                  <c:v>PL4</c:v>
                </c:pt>
                <c:pt idx="4">
                  <c:v>PL5</c:v>
                </c:pt>
                <c:pt idx="5">
                  <c:v>PL6</c:v>
                </c:pt>
                <c:pt idx="6">
                  <c:v>PL9</c:v>
                </c:pt>
                <c:pt idx="7">
                  <c:v>PL18</c:v>
                </c:pt>
                <c:pt idx="8">
                  <c:v>PL19</c:v>
                </c:pt>
                <c:pt idx="9">
                  <c:v>PL21</c:v>
                </c:pt>
                <c:pt idx="10">
                  <c:v>TQ9</c:v>
                </c:pt>
                <c:pt idx="11">
                  <c:v>EX4</c:v>
                </c:pt>
              </c:strCache>
            </c:strRef>
          </c:cat>
          <c:val>
            <c:numRef>
              <c:f>Sheet1!$B$2:$B$13</c:f>
              <c:numCache>
                <c:formatCode>General</c:formatCode>
                <c:ptCount val="12"/>
                <c:pt idx="0">
                  <c:v>3</c:v>
                </c:pt>
                <c:pt idx="1">
                  <c:v>1</c:v>
                </c:pt>
                <c:pt idx="2">
                  <c:v>4</c:v>
                </c:pt>
                <c:pt idx="3">
                  <c:v>5</c:v>
                </c:pt>
                <c:pt idx="4">
                  <c:v>2</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marker val="1"/>
        <c:smooth val="0"/>
        <c:axId val="203417088"/>
        <c:axId val="203418624"/>
      </c:lineChart>
      <c:catAx>
        <c:axId val="203417088"/>
        <c:scaling>
          <c:orientation val="minMax"/>
        </c:scaling>
        <c:delete val="0"/>
        <c:axPos val="b"/>
        <c:majorTickMark val="out"/>
        <c:minorTickMark val="none"/>
        <c:tickLblPos val="nextTo"/>
        <c:crossAx val="203418624"/>
        <c:crosses val="autoZero"/>
        <c:auto val="1"/>
        <c:lblAlgn val="ctr"/>
        <c:lblOffset val="100"/>
        <c:noMultiLvlLbl val="0"/>
      </c:catAx>
      <c:valAx>
        <c:axId val="203418624"/>
        <c:scaling>
          <c:orientation val="minMax"/>
        </c:scaling>
        <c:delete val="0"/>
        <c:axPos val="l"/>
        <c:majorGridlines/>
        <c:numFmt formatCode="General" sourceLinked="1"/>
        <c:majorTickMark val="out"/>
        <c:minorTickMark val="none"/>
        <c:tickLblPos val="nextTo"/>
        <c:crossAx val="2034170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Sheet1!$B$13</c:f>
              <c:strCache>
                <c:ptCount val="1"/>
                <c:pt idx="0">
                  <c:v>Fully Dance </c:v>
                </c:pt>
              </c:strCache>
            </c:strRef>
          </c:tx>
          <c:marker>
            <c:symbol val="none"/>
          </c:marker>
          <c:cat>
            <c:strRef>
              <c:f>Sheet1!$A$14:$A$24</c:f>
              <c:strCache>
                <c:ptCount val="11"/>
                <c:pt idx="0">
                  <c:v>PL1</c:v>
                </c:pt>
                <c:pt idx="1">
                  <c:v>PL2</c:v>
                </c:pt>
                <c:pt idx="2">
                  <c:v>PL3</c:v>
                </c:pt>
                <c:pt idx="3">
                  <c:v>PL4</c:v>
                </c:pt>
                <c:pt idx="4">
                  <c:v>PL5</c:v>
                </c:pt>
                <c:pt idx="5">
                  <c:v>PL9</c:v>
                </c:pt>
                <c:pt idx="6">
                  <c:v>PL18</c:v>
                </c:pt>
                <c:pt idx="7">
                  <c:v>PL19</c:v>
                </c:pt>
                <c:pt idx="8">
                  <c:v>PL21</c:v>
                </c:pt>
                <c:pt idx="9">
                  <c:v>TQ9</c:v>
                </c:pt>
                <c:pt idx="10">
                  <c:v>EX4</c:v>
                </c:pt>
              </c:strCache>
            </c:strRef>
          </c:cat>
          <c:val>
            <c:numRef>
              <c:f>Sheet1!$B$14:$B$24</c:f>
              <c:numCache>
                <c:formatCode>General</c:formatCode>
                <c:ptCount val="11"/>
                <c:pt idx="0">
                  <c:v>2</c:v>
                </c:pt>
                <c:pt idx="1">
                  <c:v>1</c:v>
                </c:pt>
                <c:pt idx="2">
                  <c:v>2</c:v>
                </c:pt>
                <c:pt idx="3">
                  <c:v>1</c:v>
                </c:pt>
                <c:pt idx="4">
                  <c:v>1</c:v>
                </c:pt>
                <c:pt idx="5">
                  <c:v>0</c:v>
                </c:pt>
                <c:pt idx="6">
                  <c:v>1</c:v>
                </c:pt>
                <c:pt idx="7">
                  <c:v>1</c:v>
                </c:pt>
                <c:pt idx="8">
                  <c:v>0</c:v>
                </c:pt>
                <c:pt idx="9">
                  <c:v>0</c:v>
                </c:pt>
                <c:pt idx="10">
                  <c:v>0</c:v>
                </c:pt>
              </c:numCache>
            </c:numRef>
          </c:val>
          <c:smooth val="0"/>
        </c:ser>
        <c:ser>
          <c:idx val="1"/>
          <c:order val="1"/>
          <c:tx>
            <c:strRef>
              <c:f>Sheet1!$C$13</c:f>
              <c:strCache>
                <c:ptCount val="1"/>
                <c:pt idx="0">
                  <c:v>Dance and Other</c:v>
                </c:pt>
              </c:strCache>
            </c:strRef>
          </c:tx>
          <c:marker>
            <c:symbol val="none"/>
          </c:marker>
          <c:cat>
            <c:strRef>
              <c:f>Sheet1!$A$14:$A$24</c:f>
              <c:strCache>
                <c:ptCount val="11"/>
                <c:pt idx="0">
                  <c:v>PL1</c:v>
                </c:pt>
                <c:pt idx="1">
                  <c:v>PL2</c:v>
                </c:pt>
                <c:pt idx="2">
                  <c:v>PL3</c:v>
                </c:pt>
                <c:pt idx="3">
                  <c:v>PL4</c:v>
                </c:pt>
                <c:pt idx="4">
                  <c:v>PL5</c:v>
                </c:pt>
                <c:pt idx="5">
                  <c:v>PL9</c:v>
                </c:pt>
                <c:pt idx="6">
                  <c:v>PL18</c:v>
                </c:pt>
                <c:pt idx="7">
                  <c:v>PL19</c:v>
                </c:pt>
                <c:pt idx="8">
                  <c:v>PL21</c:v>
                </c:pt>
                <c:pt idx="9">
                  <c:v>TQ9</c:v>
                </c:pt>
                <c:pt idx="10">
                  <c:v>EX4</c:v>
                </c:pt>
              </c:strCache>
            </c:strRef>
          </c:cat>
          <c:val>
            <c:numRef>
              <c:f>Sheet1!$C$14:$C$24</c:f>
              <c:numCache>
                <c:formatCode>General</c:formatCode>
                <c:ptCount val="11"/>
                <c:pt idx="0">
                  <c:v>1</c:v>
                </c:pt>
                <c:pt idx="1">
                  <c:v>1</c:v>
                </c:pt>
                <c:pt idx="2">
                  <c:v>2</c:v>
                </c:pt>
                <c:pt idx="3">
                  <c:v>4</c:v>
                </c:pt>
                <c:pt idx="4">
                  <c:v>1</c:v>
                </c:pt>
                <c:pt idx="5">
                  <c:v>1</c:v>
                </c:pt>
                <c:pt idx="6">
                  <c:v>0</c:v>
                </c:pt>
                <c:pt idx="7">
                  <c:v>0</c:v>
                </c:pt>
                <c:pt idx="8">
                  <c:v>1</c:v>
                </c:pt>
                <c:pt idx="9">
                  <c:v>1</c:v>
                </c:pt>
                <c:pt idx="10">
                  <c:v>1</c:v>
                </c:pt>
              </c:numCache>
            </c:numRef>
          </c:val>
          <c:smooth val="0"/>
        </c:ser>
        <c:dLbls>
          <c:showLegendKey val="0"/>
          <c:showVal val="0"/>
          <c:showCatName val="0"/>
          <c:showSerName val="0"/>
          <c:showPercent val="0"/>
          <c:showBubbleSize val="0"/>
        </c:dLbls>
        <c:marker val="1"/>
        <c:smooth val="0"/>
        <c:axId val="203891072"/>
        <c:axId val="203892608"/>
      </c:lineChart>
      <c:catAx>
        <c:axId val="203891072"/>
        <c:scaling>
          <c:orientation val="minMax"/>
        </c:scaling>
        <c:delete val="0"/>
        <c:axPos val="b"/>
        <c:majorTickMark val="out"/>
        <c:minorTickMark val="none"/>
        <c:tickLblPos val="nextTo"/>
        <c:crossAx val="203892608"/>
        <c:crosses val="autoZero"/>
        <c:auto val="1"/>
        <c:lblAlgn val="ctr"/>
        <c:lblOffset val="100"/>
        <c:noMultiLvlLbl val="0"/>
      </c:catAx>
      <c:valAx>
        <c:axId val="203892608"/>
        <c:scaling>
          <c:orientation val="minMax"/>
          <c:max val="4"/>
          <c:min val="0"/>
        </c:scaling>
        <c:delete val="0"/>
        <c:axPos val="l"/>
        <c:majorGridlines/>
        <c:numFmt formatCode="General" sourceLinked="1"/>
        <c:majorTickMark val="out"/>
        <c:minorTickMark val="none"/>
        <c:tickLblPos val="nextTo"/>
        <c:crossAx val="203891072"/>
        <c:crosses val="autoZero"/>
        <c:crossBetween val="between"/>
        <c:majorUnit val="1"/>
        <c:minorUnit val="0.1"/>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1"/>
            <c:bubble3D val="0"/>
            <c:spPr>
              <a:solidFill>
                <a:schemeClr val="tx1"/>
              </a:solidFill>
            </c:spPr>
          </c:dPt>
          <c:dPt>
            <c:idx val="2"/>
            <c:bubble3D val="0"/>
            <c:spPr>
              <a:blipFill>
                <a:blip xmlns:r="http://schemas.openxmlformats.org/officeDocument/2006/relationships" r:embed="rId1"/>
                <a:tile tx="0" ty="0" sx="100000" sy="100000" flip="none" algn="tl"/>
              </a:blipFill>
            </c:spPr>
          </c:dPt>
          <c:dPt>
            <c:idx val="3"/>
            <c:bubble3D val="0"/>
            <c:spPr>
              <a:solidFill>
                <a:schemeClr val="accent6">
                  <a:lumMod val="75000"/>
                </a:schemeClr>
              </a:solidFill>
            </c:spPr>
          </c:dPt>
          <c:dPt>
            <c:idx val="4"/>
            <c:bubble3D val="0"/>
            <c:spPr>
              <a:solidFill>
                <a:srgbClr val="00FF00"/>
              </a:solidFill>
            </c:spPr>
          </c:dPt>
          <c:dPt>
            <c:idx val="5"/>
            <c:bubble3D val="0"/>
            <c:spPr>
              <a:solidFill>
                <a:srgbClr val="FFFF00"/>
              </a:solidFill>
            </c:spPr>
          </c:dPt>
          <c:dPt>
            <c:idx val="6"/>
            <c:bubble3D val="0"/>
            <c:spPr>
              <a:solidFill>
                <a:srgbClr val="FF0000"/>
              </a:solidFill>
            </c:spPr>
          </c:dPt>
          <c:cat>
            <c:strRef>
              <c:f>Sheet1!$A$1:$A$6</c:f>
              <c:strCache>
                <c:ptCount val="6"/>
                <c:pt idx="0">
                  <c:v> Percent: 0 to 19%</c:v>
                </c:pt>
                <c:pt idx="1">
                  <c:v>Percent: 20 to 39%</c:v>
                </c:pt>
                <c:pt idx="2">
                  <c:v>Percent:40 to 59%</c:v>
                </c:pt>
                <c:pt idx="3">
                  <c:v>Percent: 60 to 79%</c:v>
                </c:pt>
                <c:pt idx="4">
                  <c:v>Percent: 80 to 99%</c:v>
                </c:pt>
                <c:pt idx="5">
                  <c:v>Percent: 100%</c:v>
                </c:pt>
              </c:strCache>
            </c:strRef>
          </c:cat>
          <c:val>
            <c:numRef>
              <c:f>Sheet1!$B$1:$B$6</c:f>
              <c:numCache>
                <c:formatCode>General</c:formatCode>
                <c:ptCount val="6"/>
                <c:pt idx="0">
                  <c:v>1</c:v>
                </c:pt>
                <c:pt idx="1">
                  <c:v>2</c:v>
                </c:pt>
                <c:pt idx="2">
                  <c:v>1</c:v>
                </c:pt>
                <c:pt idx="3">
                  <c:v>2</c:v>
                </c:pt>
                <c:pt idx="4">
                  <c:v>7</c:v>
                </c:pt>
                <c:pt idx="5">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1"/>
            <c:bubble3D val="0"/>
            <c:spPr>
              <a:solidFill>
                <a:schemeClr val="tx1"/>
              </a:solidFill>
            </c:spPr>
          </c:dPt>
          <c:dPt>
            <c:idx val="2"/>
            <c:bubble3D val="0"/>
            <c:spPr>
              <a:blipFill>
                <a:blip xmlns:r="http://schemas.openxmlformats.org/officeDocument/2006/relationships" r:embed="rId1"/>
                <a:tile tx="0" ty="0" sx="100000" sy="100000" flip="none" algn="tl"/>
              </a:blipFill>
            </c:spPr>
          </c:dPt>
          <c:dPt>
            <c:idx val="3"/>
            <c:bubble3D val="0"/>
            <c:spPr>
              <a:solidFill>
                <a:schemeClr val="accent6">
                  <a:lumMod val="75000"/>
                </a:schemeClr>
              </a:solidFill>
            </c:spPr>
          </c:dPt>
          <c:dPt>
            <c:idx val="4"/>
            <c:bubble3D val="0"/>
            <c:spPr>
              <a:solidFill>
                <a:srgbClr val="00FF00"/>
              </a:solidFill>
            </c:spPr>
          </c:dPt>
          <c:dPt>
            <c:idx val="5"/>
            <c:bubble3D val="0"/>
            <c:spPr>
              <a:solidFill>
                <a:srgbClr val="FFFF00"/>
              </a:solidFill>
            </c:spPr>
          </c:dPt>
          <c:dPt>
            <c:idx val="6"/>
            <c:bubble3D val="0"/>
            <c:spPr>
              <a:solidFill>
                <a:srgbClr val="FF0000"/>
              </a:solidFill>
            </c:spPr>
          </c:dPt>
          <c:cat>
            <c:strRef>
              <c:f>Sheet1!$A$1:$A$6</c:f>
              <c:strCache>
                <c:ptCount val="6"/>
                <c:pt idx="0">
                  <c:v> Percent: 0 to 19%</c:v>
                </c:pt>
                <c:pt idx="1">
                  <c:v>Percent: 20 to 39%</c:v>
                </c:pt>
                <c:pt idx="2">
                  <c:v>Percent:40 to 59%</c:v>
                </c:pt>
                <c:pt idx="3">
                  <c:v>Percent: 60 to 79%</c:v>
                </c:pt>
                <c:pt idx="4">
                  <c:v>Percent: 80 to 99%</c:v>
                </c:pt>
                <c:pt idx="5">
                  <c:v>Percent: 100%</c:v>
                </c:pt>
              </c:strCache>
            </c:strRef>
          </c:cat>
          <c:val>
            <c:numRef>
              <c:f>Sheet1!$B$1:$B$6</c:f>
              <c:numCache>
                <c:formatCode>General</c:formatCode>
                <c:ptCount val="6"/>
                <c:pt idx="0">
                  <c:v>2</c:v>
                </c:pt>
                <c:pt idx="1">
                  <c:v>1</c:v>
                </c:pt>
                <c:pt idx="2">
                  <c:v>2</c:v>
                </c:pt>
                <c:pt idx="3">
                  <c:v>3</c:v>
                </c:pt>
                <c:pt idx="4">
                  <c:v>5</c:v>
                </c:pt>
                <c:pt idx="5">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Sheet1!$A$2</c:f>
              <c:strCache>
                <c:ptCount val="1"/>
                <c:pt idx="0">
                  <c:v>Disability</c:v>
                </c:pt>
              </c:strCache>
            </c:strRef>
          </c:tx>
          <c:invertIfNegative val="0"/>
          <c:cat>
            <c:strRef>
              <c:f>Sheet1!$B$1:$D$1</c:f>
              <c:strCache>
                <c:ptCount val="3"/>
                <c:pt idx="0">
                  <c:v>Male </c:v>
                </c:pt>
                <c:pt idx="1">
                  <c:v>Female</c:v>
                </c:pt>
                <c:pt idx="2">
                  <c:v>100% Dance</c:v>
                </c:pt>
              </c:strCache>
            </c:strRef>
          </c:cat>
          <c:val>
            <c:numRef>
              <c:f>Sheet1!$B$2:$D$2</c:f>
              <c:numCache>
                <c:formatCode>General</c:formatCode>
                <c:ptCount val="3"/>
                <c:pt idx="0">
                  <c:v>0</c:v>
                </c:pt>
                <c:pt idx="1">
                  <c:v>3</c:v>
                </c:pt>
                <c:pt idx="2">
                  <c:v>1</c:v>
                </c:pt>
              </c:numCache>
            </c:numRef>
          </c:val>
        </c:ser>
        <c:ser>
          <c:idx val="1"/>
          <c:order val="1"/>
          <c:tx>
            <c:strRef>
              <c:f>Sheet1!$A$3</c:f>
              <c:strCache>
                <c:ptCount val="1"/>
                <c:pt idx="0">
                  <c:v>No Disability</c:v>
                </c:pt>
              </c:strCache>
            </c:strRef>
          </c:tx>
          <c:invertIfNegative val="0"/>
          <c:cat>
            <c:strRef>
              <c:f>Sheet1!$B$1:$D$1</c:f>
              <c:strCache>
                <c:ptCount val="3"/>
                <c:pt idx="0">
                  <c:v>Male </c:v>
                </c:pt>
                <c:pt idx="1">
                  <c:v>Female</c:v>
                </c:pt>
                <c:pt idx="2">
                  <c:v>100% Dance</c:v>
                </c:pt>
              </c:strCache>
            </c:strRef>
          </c:cat>
          <c:val>
            <c:numRef>
              <c:f>Sheet1!$B$3:$D$3</c:f>
              <c:numCache>
                <c:formatCode>General</c:formatCode>
                <c:ptCount val="3"/>
                <c:pt idx="0">
                  <c:v>4</c:v>
                </c:pt>
                <c:pt idx="1">
                  <c:v>15</c:v>
                </c:pt>
                <c:pt idx="2">
                  <c:v>6</c:v>
                </c:pt>
              </c:numCache>
            </c:numRef>
          </c:val>
        </c:ser>
        <c:dLbls>
          <c:showLegendKey val="0"/>
          <c:showVal val="0"/>
          <c:showCatName val="0"/>
          <c:showSerName val="0"/>
          <c:showPercent val="0"/>
          <c:showBubbleSize val="0"/>
        </c:dLbls>
        <c:gapWidth val="150"/>
        <c:shape val="box"/>
        <c:axId val="204889472"/>
        <c:axId val="204928128"/>
        <c:axId val="0"/>
      </c:bar3DChart>
      <c:catAx>
        <c:axId val="204889472"/>
        <c:scaling>
          <c:orientation val="minMax"/>
        </c:scaling>
        <c:delete val="0"/>
        <c:axPos val="l"/>
        <c:majorTickMark val="out"/>
        <c:minorTickMark val="none"/>
        <c:tickLblPos val="nextTo"/>
        <c:crossAx val="204928128"/>
        <c:crosses val="autoZero"/>
        <c:auto val="1"/>
        <c:lblAlgn val="ctr"/>
        <c:lblOffset val="100"/>
        <c:noMultiLvlLbl val="0"/>
      </c:catAx>
      <c:valAx>
        <c:axId val="204928128"/>
        <c:scaling>
          <c:orientation val="minMax"/>
        </c:scaling>
        <c:delete val="0"/>
        <c:axPos val="b"/>
        <c:majorGridlines/>
        <c:numFmt formatCode="0%" sourceLinked="1"/>
        <c:majorTickMark val="out"/>
        <c:minorTickMark val="none"/>
        <c:tickLblPos val="nextTo"/>
        <c:crossAx val="20488947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Professionals 2015</c:v>
                </c:pt>
              </c:strCache>
            </c:strRef>
          </c:tx>
          <c:invertIfNegative val="0"/>
          <c:cat>
            <c:strRef>
              <c:f>Sheet1!$A$2:$A$16</c:f>
              <c:strCache>
                <c:ptCount val="15"/>
                <c:pt idx="0">
                  <c:v>Year 1958</c:v>
                </c:pt>
                <c:pt idx="1">
                  <c:v>Year 1967</c:v>
                </c:pt>
                <c:pt idx="2">
                  <c:v>Year 1968</c:v>
                </c:pt>
                <c:pt idx="3">
                  <c:v>Year 1972</c:v>
                </c:pt>
                <c:pt idx="4">
                  <c:v> Year 1973</c:v>
                </c:pt>
                <c:pt idx="5">
                  <c:v> Year 1980</c:v>
                </c:pt>
                <c:pt idx="6">
                  <c:v>Year 1982</c:v>
                </c:pt>
                <c:pt idx="7">
                  <c:v>Year 1983</c:v>
                </c:pt>
                <c:pt idx="8">
                  <c:v>Year 1986</c:v>
                </c:pt>
                <c:pt idx="9">
                  <c:v>Year 1987</c:v>
                </c:pt>
                <c:pt idx="10">
                  <c:v>Year 1989</c:v>
                </c:pt>
                <c:pt idx="11">
                  <c:v>Year 1990</c:v>
                </c:pt>
                <c:pt idx="12">
                  <c:v>Year 1991</c:v>
                </c:pt>
                <c:pt idx="13">
                  <c:v>Year 1992</c:v>
                </c:pt>
                <c:pt idx="14">
                  <c:v>Year 1996</c:v>
                </c:pt>
              </c:strCache>
            </c:strRef>
          </c:cat>
          <c:val>
            <c:numRef>
              <c:f>Sheet1!$B$2:$B$16</c:f>
              <c:numCache>
                <c:formatCode>General</c:formatCode>
                <c:ptCount val="15"/>
                <c:pt idx="0">
                  <c:v>1</c:v>
                </c:pt>
                <c:pt idx="1">
                  <c:v>1</c:v>
                </c:pt>
                <c:pt idx="2">
                  <c:v>1</c:v>
                </c:pt>
                <c:pt idx="3">
                  <c:v>1</c:v>
                </c:pt>
                <c:pt idx="4">
                  <c:v>1</c:v>
                </c:pt>
                <c:pt idx="5">
                  <c:v>1</c:v>
                </c:pt>
                <c:pt idx="6">
                  <c:v>1</c:v>
                </c:pt>
                <c:pt idx="7">
                  <c:v>1</c:v>
                </c:pt>
                <c:pt idx="8">
                  <c:v>2</c:v>
                </c:pt>
                <c:pt idx="9">
                  <c:v>1</c:v>
                </c:pt>
                <c:pt idx="10">
                  <c:v>3</c:v>
                </c:pt>
                <c:pt idx="11">
                  <c:v>2</c:v>
                </c:pt>
                <c:pt idx="12">
                  <c:v>1</c:v>
                </c:pt>
                <c:pt idx="13">
                  <c:v>4</c:v>
                </c:pt>
                <c:pt idx="14">
                  <c:v>1</c:v>
                </c:pt>
              </c:numCache>
            </c:numRef>
          </c:val>
        </c:ser>
        <c:dLbls>
          <c:showLegendKey val="0"/>
          <c:showVal val="0"/>
          <c:showCatName val="0"/>
          <c:showSerName val="0"/>
          <c:showPercent val="0"/>
          <c:showBubbleSize val="0"/>
        </c:dLbls>
        <c:gapWidth val="150"/>
        <c:axId val="216425216"/>
        <c:axId val="216426752"/>
      </c:barChart>
      <c:catAx>
        <c:axId val="216425216"/>
        <c:scaling>
          <c:orientation val="minMax"/>
        </c:scaling>
        <c:delete val="0"/>
        <c:axPos val="b"/>
        <c:majorTickMark val="out"/>
        <c:minorTickMark val="none"/>
        <c:tickLblPos val="nextTo"/>
        <c:crossAx val="216426752"/>
        <c:crosses val="autoZero"/>
        <c:auto val="1"/>
        <c:lblAlgn val="ctr"/>
        <c:lblOffset val="100"/>
        <c:noMultiLvlLbl val="0"/>
      </c:catAx>
      <c:valAx>
        <c:axId val="216426752"/>
        <c:scaling>
          <c:orientation val="minMax"/>
        </c:scaling>
        <c:delete val="0"/>
        <c:axPos val="l"/>
        <c:majorGridlines/>
        <c:numFmt formatCode="General" sourceLinked="1"/>
        <c:majorTickMark val="out"/>
        <c:minorTickMark val="none"/>
        <c:tickLblPos val="nextTo"/>
        <c:crossAx val="2164252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B9BC-8C8F-478F-B597-2A139FE1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user1</cp:lastModifiedBy>
  <cp:revision>26</cp:revision>
  <dcterms:created xsi:type="dcterms:W3CDTF">2016-01-08T13:40:00Z</dcterms:created>
  <dcterms:modified xsi:type="dcterms:W3CDTF">2016-02-23T16:28:00Z</dcterms:modified>
</cp:coreProperties>
</file>